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C2" w:rsidRDefault="002D08C2" w:rsidP="002D08C2">
      <w:pPr>
        <w:jc w:val="center"/>
        <w:rPr>
          <w:rFonts w:ascii="Times New Roman" w:hAnsi="Times New Roman" w:cs="Times New Roman"/>
          <w:b/>
        </w:rPr>
      </w:pPr>
    </w:p>
    <w:p w:rsidR="002D08C2" w:rsidRDefault="002D08C2" w:rsidP="002D08C2">
      <w:pPr>
        <w:jc w:val="center"/>
        <w:rPr>
          <w:rFonts w:ascii="Times New Roman" w:hAnsi="Times New Roman" w:cs="Times New Roman"/>
          <w:b/>
        </w:rPr>
      </w:pPr>
    </w:p>
    <w:p w:rsidR="002D08C2" w:rsidRDefault="002D08C2" w:rsidP="002D08C2">
      <w:pPr>
        <w:jc w:val="center"/>
        <w:rPr>
          <w:rFonts w:ascii="Times New Roman" w:hAnsi="Times New Roman" w:cs="Times New Roman"/>
          <w:b/>
        </w:rPr>
      </w:pPr>
      <w:r w:rsidRPr="002D08C2">
        <w:rPr>
          <w:rFonts w:ascii="Times New Roman" w:hAnsi="Times New Roman" w:cs="Times New Roman"/>
          <w:b/>
        </w:rPr>
        <w:t>PROJETO DE LEI SUBSTITUTIVO AO PROJETO DE LEI Nº. 206/2021</w:t>
      </w:r>
    </w:p>
    <w:p w:rsidR="002D08C2" w:rsidRPr="002D08C2" w:rsidRDefault="002D08C2" w:rsidP="002D08C2">
      <w:pPr>
        <w:jc w:val="center"/>
        <w:rPr>
          <w:rFonts w:ascii="Times New Roman" w:hAnsi="Times New Roman" w:cs="Times New Roman"/>
          <w:b/>
        </w:rPr>
      </w:pPr>
    </w:p>
    <w:p w:rsidR="002D08C2" w:rsidRPr="002D08C2" w:rsidRDefault="002D08C2" w:rsidP="002D08C2">
      <w:pPr>
        <w:jc w:val="both"/>
        <w:rPr>
          <w:rFonts w:ascii="Times New Roman" w:hAnsi="Times New Roman" w:cs="Times New Roman"/>
        </w:rPr>
      </w:pPr>
    </w:p>
    <w:p w:rsidR="002D08C2" w:rsidRPr="002D08C2" w:rsidRDefault="002D08C2" w:rsidP="002D08C2">
      <w:pPr>
        <w:spacing w:after="60"/>
        <w:jc w:val="right"/>
        <w:rPr>
          <w:rFonts w:ascii="Times New Roman" w:hAnsi="Times New Roman" w:cs="Times New Roman"/>
          <w:b/>
        </w:rPr>
      </w:pPr>
      <w:r w:rsidRPr="002D08C2">
        <w:rPr>
          <w:rFonts w:ascii="Times New Roman" w:hAnsi="Times New Roman" w:cs="Times New Roman"/>
          <w:b/>
        </w:rPr>
        <w:t xml:space="preserve">Altera, modifica e acresce dispositivos à </w:t>
      </w:r>
      <w:proofErr w:type="gramStart"/>
      <w:r w:rsidRPr="002D08C2">
        <w:rPr>
          <w:rFonts w:ascii="Times New Roman" w:hAnsi="Times New Roman" w:cs="Times New Roman"/>
          <w:b/>
        </w:rPr>
        <w:t>Lei</w:t>
      </w:r>
      <w:proofErr w:type="gramEnd"/>
      <w:r w:rsidRPr="002D08C2">
        <w:rPr>
          <w:rFonts w:ascii="Times New Roman" w:hAnsi="Times New Roman" w:cs="Times New Roman"/>
          <w:b/>
        </w:rPr>
        <w:t xml:space="preserve"> </w:t>
      </w:r>
    </w:p>
    <w:p w:rsidR="002D08C2" w:rsidRPr="002D08C2" w:rsidRDefault="002D08C2" w:rsidP="002D08C2">
      <w:pPr>
        <w:spacing w:after="60"/>
        <w:jc w:val="right"/>
        <w:rPr>
          <w:rFonts w:ascii="Times New Roman" w:hAnsi="Times New Roman" w:cs="Times New Roman"/>
          <w:b/>
        </w:rPr>
      </w:pPr>
      <w:r w:rsidRPr="002D08C2">
        <w:rPr>
          <w:rFonts w:ascii="Times New Roman" w:hAnsi="Times New Roman" w:cs="Times New Roman"/>
          <w:b/>
        </w:rPr>
        <w:t>Municipal n. 7.573/2021 (Lei de Diretrizes Orçamentárias para o exercício de 2022).</w:t>
      </w:r>
    </w:p>
    <w:p w:rsidR="002D08C2" w:rsidRDefault="002D08C2" w:rsidP="002D08C2">
      <w:pPr>
        <w:spacing w:after="60"/>
        <w:jc w:val="right"/>
        <w:rPr>
          <w:rFonts w:ascii="Times New Roman" w:hAnsi="Times New Roman" w:cs="Times New Roman"/>
        </w:rPr>
      </w:pPr>
    </w:p>
    <w:p w:rsidR="002D08C2" w:rsidRPr="002D08C2" w:rsidRDefault="002D08C2" w:rsidP="002D08C2">
      <w:pPr>
        <w:spacing w:after="60"/>
        <w:jc w:val="right"/>
        <w:rPr>
          <w:rFonts w:ascii="Times New Roman" w:hAnsi="Times New Roman" w:cs="Times New Roman"/>
        </w:rPr>
      </w:pPr>
    </w:p>
    <w:p w:rsidR="002D08C2" w:rsidRPr="002D08C2" w:rsidRDefault="002D08C2" w:rsidP="002D08C2">
      <w:pPr>
        <w:spacing w:after="60"/>
        <w:jc w:val="both"/>
        <w:rPr>
          <w:rFonts w:ascii="Times New Roman" w:hAnsi="Times New Roman" w:cs="Times New Roman"/>
        </w:rPr>
      </w:pPr>
      <w:r w:rsidRPr="002D08C2">
        <w:rPr>
          <w:rFonts w:ascii="Times New Roman" w:hAnsi="Times New Roman" w:cs="Times New Roman"/>
          <w:b/>
        </w:rPr>
        <w:t xml:space="preserve">Art. 1º. </w:t>
      </w:r>
      <w:r w:rsidRPr="002D08C2">
        <w:rPr>
          <w:rFonts w:ascii="Times New Roman" w:hAnsi="Times New Roman" w:cs="Times New Roman"/>
        </w:rPr>
        <w:t>O “caput” do art. 28, da Lei municipal n. 7.573/2021 passa a vigorar com a seguinte redação:</w:t>
      </w:r>
    </w:p>
    <w:p w:rsidR="002D08C2" w:rsidRPr="002D08C2" w:rsidRDefault="002D08C2" w:rsidP="002D08C2">
      <w:pPr>
        <w:spacing w:after="60"/>
        <w:jc w:val="both"/>
        <w:rPr>
          <w:rFonts w:ascii="Times New Roman" w:hAnsi="Times New Roman" w:cs="Times New Roman"/>
        </w:rPr>
      </w:pP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 xml:space="preserve">Art. 28. O Orçamento para o exercício de 2022 poderá destinar recursos para a Reserva de Contingência, de no mínimo 0,1% (um décimo por cento) das Receitas Correntes Líquidas previstas.  </w:t>
      </w:r>
    </w:p>
    <w:p w:rsidR="002D08C2" w:rsidRPr="002D08C2" w:rsidRDefault="002D08C2" w:rsidP="002D08C2">
      <w:pPr>
        <w:spacing w:after="60"/>
        <w:ind w:left="708"/>
        <w:jc w:val="both"/>
        <w:rPr>
          <w:rFonts w:ascii="Times New Roman" w:hAnsi="Times New Roman" w:cs="Times New Roman"/>
        </w:rPr>
      </w:pPr>
    </w:p>
    <w:p w:rsidR="002D08C2" w:rsidRPr="002D08C2" w:rsidRDefault="002D08C2" w:rsidP="002D08C2">
      <w:pPr>
        <w:spacing w:after="60"/>
        <w:jc w:val="both"/>
        <w:rPr>
          <w:rFonts w:ascii="Times New Roman" w:hAnsi="Times New Roman" w:cs="Times New Roman"/>
        </w:rPr>
      </w:pPr>
      <w:r w:rsidRPr="002D08C2">
        <w:rPr>
          <w:rFonts w:ascii="Times New Roman" w:hAnsi="Times New Roman" w:cs="Times New Roman"/>
          <w:b/>
        </w:rPr>
        <w:t>Art. 2°.</w:t>
      </w:r>
      <w:r w:rsidRPr="002D08C2">
        <w:rPr>
          <w:rFonts w:ascii="Times New Roman" w:hAnsi="Times New Roman" w:cs="Times New Roman"/>
        </w:rPr>
        <w:t xml:space="preserve"> O art. 39, da Lei municipal n. 7.573/2021 passa a vigorar com a seguinte redação:</w:t>
      </w:r>
    </w:p>
    <w:p w:rsidR="002D08C2" w:rsidRPr="002D08C2" w:rsidRDefault="002D08C2" w:rsidP="002D08C2">
      <w:pPr>
        <w:spacing w:after="60"/>
        <w:jc w:val="both"/>
        <w:rPr>
          <w:rFonts w:ascii="Times New Roman" w:hAnsi="Times New Roman" w:cs="Times New Roman"/>
        </w:rPr>
      </w:pP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Art. 39. Durante a execução orçamentária de 2022:</w:t>
      </w: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 xml:space="preserve">I. </w:t>
      </w:r>
      <w:proofErr w:type="gramStart"/>
      <w:r w:rsidRPr="002D08C2">
        <w:rPr>
          <w:rFonts w:ascii="Times New Roman" w:hAnsi="Times New Roman" w:cs="Times New Roman"/>
        </w:rPr>
        <w:t>se</w:t>
      </w:r>
      <w:proofErr w:type="gramEnd"/>
      <w:r w:rsidRPr="002D08C2">
        <w:rPr>
          <w:rFonts w:ascii="Times New Roman" w:hAnsi="Times New Roman" w:cs="Times New Roman"/>
        </w:rPr>
        <w:t xml:space="preserve"> o Poder Executivo Municipal for autorizado por lei, poderá incluir novos projetos, atividades ou operações especiais no orçamento das Unidades Gestoras na forma de crédito especial, desde que se enquadre nas prioridades para o exercício de 2022 (art. 167, I da Constituição Federal);</w:t>
      </w: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II. A apuração de eventual excesso de arrecadação de que trata o art. 43 da Lei Federal nº 4.320, de 1964, e suas alterações, será realizada em cada fonte de recurso identificada nos orçamentos da Receita e da Despesa para fins de abertura de créditos adicionais, conforme exigência contida nos artigos 8º, parágrafo único, e 50, inc. I da Lei Complementar Federal nº 101, de 04 de maio de 2000, e suas alterações;</w:t>
      </w: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 xml:space="preserve">III. O controle da execução orçamentária será realizado de forma a preservar o equilíbrio de caixa para cada uma das fontes de recursos, conforme disposto nos </w:t>
      </w:r>
      <w:proofErr w:type="spellStart"/>
      <w:r w:rsidRPr="002D08C2">
        <w:rPr>
          <w:rFonts w:ascii="Times New Roman" w:hAnsi="Times New Roman" w:cs="Times New Roman"/>
        </w:rPr>
        <w:t>arts</w:t>
      </w:r>
      <w:proofErr w:type="spellEnd"/>
      <w:r w:rsidRPr="002D08C2">
        <w:rPr>
          <w:rFonts w:ascii="Times New Roman" w:hAnsi="Times New Roman" w:cs="Times New Roman"/>
        </w:rPr>
        <w:t>. 8º, 42 e 50, inc. I da Lei Complementar Federal nº 101, de 2000, e suas alterações;</w:t>
      </w: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IV. Fica autorizado, o Poder Executivo, a:</w:t>
      </w: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a) proceder à realocação dos recursos consignados entre subfunções, programas, atividades, projetos, operações especiais e modalidades de aplicação, adstrita à mesma função de governo, a fim de preservar o processamento orçamentário na codificação da receita financiadora da despesa fiscal;</w:t>
      </w: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b) alterar as modalidades de aplicação, mediante decreto do Poder Executivo, sempre que se verifique a necessidade de sua adequação;</w:t>
      </w:r>
    </w:p>
    <w:p w:rsidR="002D08C2" w:rsidRPr="002D08C2" w:rsidRDefault="002D08C2" w:rsidP="002D08C2">
      <w:pPr>
        <w:spacing w:after="60"/>
        <w:ind w:left="708"/>
        <w:jc w:val="both"/>
        <w:rPr>
          <w:rFonts w:ascii="Times New Roman" w:hAnsi="Times New Roman" w:cs="Times New Roman"/>
        </w:rPr>
      </w:pPr>
    </w:p>
    <w:p w:rsidR="002D08C2" w:rsidRPr="002D08C2" w:rsidRDefault="002D08C2" w:rsidP="002D08C2">
      <w:pPr>
        <w:spacing w:after="60"/>
        <w:ind w:left="708"/>
        <w:jc w:val="both"/>
        <w:rPr>
          <w:rFonts w:ascii="Times New Roman" w:hAnsi="Times New Roman" w:cs="Times New Roman"/>
        </w:rPr>
      </w:pPr>
    </w:p>
    <w:p w:rsidR="002D08C2" w:rsidRPr="002D08C2" w:rsidRDefault="002D08C2" w:rsidP="002D08C2">
      <w:pPr>
        <w:spacing w:after="60"/>
        <w:ind w:left="708"/>
        <w:jc w:val="both"/>
        <w:rPr>
          <w:rFonts w:ascii="Times New Roman" w:hAnsi="Times New Roman" w:cs="Times New Roman"/>
        </w:rPr>
      </w:pP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lastRenderedPageBreak/>
        <w:t xml:space="preserve">§ 1º. Para assegurar a compatibilidade entre o planejamento para o exercício de 2022 contido no PPA 2022/2025, e para garantir uma lei orçamentária mais próxima da realidade, o Poder Executivo, quando da elaboração do projeto de lei orçamentária procederá reestimativa da receita, e das metas de Resultados Fiscais, as quais atualizarão o fixado nesta Lei, ficando autorizados os ajustes necessários, à consecução da atualização.  </w:t>
      </w:r>
    </w:p>
    <w:p w:rsidR="002D08C2" w:rsidRPr="002D08C2" w:rsidRDefault="002D08C2" w:rsidP="002D08C2">
      <w:pPr>
        <w:spacing w:after="60"/>
        <w:ind w:left="708"/>
        <w:jc w:val="both"/>
        <w:rPr>
          <w:rFonts w:ascii="Times New Roman" w:hAnsi="Times New Roman" w:cs="Times New Roman"/>
        </w:rPr>
      </w:pP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 2º. Para atender o disposto no parágrafo anterior considera-se modificado pela Lei Orçamentária, ou por leis de créditos adicionais, o conteúdo desta lei.</w:t>
      </w:r>
    </w:p>
    <w:p w:rsidR="002D08C2" w:rsidRPr="002D08C2" w:rsidRDefault="002D08C2" w:rsidP="002D08C2">
      <w:pPr>
        <w:spacing w:after="60"/>
        <w:jc w:val="both"/>
        <w:rPr>
          <w:rFonts w:ascii="Times New Roman" w:hAnsi="Times New Roman" w:cs="Times New Roman"/>
        </w:rPr>
      </w:pPr>
    </w:p>
    <w:p w:rsidR="002D08C2" w:rsidRPr="002D08C2" w:rsidRDefault="002D08C2" w:rsidP="002D08C2">
      <w:pPr>
        <w:spacing w:after="60"/>
        <w:jc w:val="both"/>
        <w:rPr>
          <w:rFonts w:ascii="Times New Roman" w:hAnsi="Times New Roman" w:cs="Times New Roman"/>
        </w:rPr>
      </w:pPr>
      <w:r w:rsidRPr="002D08C2">
        <w:rPr>
          <w:rFonts w:ascii="Times New Roman" w:hAnsi="Times New Roman" w:cs="Times New Roman"/>
          <w:b/>
        </w:rPr>
        <w:t>Art. 3°.</w:t>
      </w:r>
      <w:r w:rsidRPr="002D08C2">
        <w:rPr>
          <w:rFonts w:ascii="Times New Roman" w:hAnsi="Times New Roman" w:cs="Times New Roman"/>
        </w:rPr>
        <w:t xml:space="preserve"> Acrescenta-se um parágrafo único ao art. 46, da Lei municipal n. 7.573/2021, com o seguinte teor:</w:t>
      </w:r>
    </w:p>
    <w:p w:rsidR="002D08C2" w:rsidRPr="002D08C2" w:rsidRDefault="002D08C2" w:rsidP="002D08C2">
      <w:pPr>
        <w:spacing w:after="60"/>
        <w:jc w:val="both"/>
        <w:rPr>
          <w:rFonts w:ascii="Times New Roman" w:hAnsi="Times New Roman" w:cs="Times New Roman"/>
        </w:rPr>
      </w:pPr>
    </w:p>
    <w:p w:rsidR="002D08C2" w:rsidRPr="002D08C2" w:rsidRDefault="002D08C2" w:rsidP="002D08C2">
      <w:pPr>
        <w:spacing w:after="60"/>
        <w:ind w:left="708"/>
        <w:jc w:val="both"/>
        <w:rPr>
          <w:rFonts w:ascii="Times New Roman" w:hAnsi="Times New Roman" w:cs="Times New Roman"/>
        </w:rPr>
      </w:pPr>
      <w:r w:rsidRPr="002D08C2">
        <w:rPr>
          <w:rFonts w:ascii="Times New Roman" w:hAnsi="Times New Roman" w:cs="Times New Roman"/>
        </w:rPr>
        <w:t>Parágrafo único. No exercício de 2022 será contado para efeitos da concessão dos benefícios de que trata o inciso IX, do art. 8°, da Lei Federal Complementar n. 173/2020, como efetivo exercício, o tempo de serviço prestado à Administração Municipal, no período compreendido entre 27 de maio de 2020 e 31 de dezembro de 2021, desde que o benefício decorra de determinação legal anterior à calamidade pública.</w:t>
      </w:r>
    </w:p>
    <w:p w:rsidR="002D08C2" w:rsidRPr="002D08C2" w:rsidRDefault="002D08C2" w:rsidP="002D08C2">
      <w:pPr>
        <w:spacing w:after="60"/>
        <w:ind w:left="708"/>
        <w:jc w:val="both"/>
        <w:rPr>
          <w:rFonts w:ascii="Times New Roman" w:hAnsi="Times New Roman" w:cs="Times New Roman"/>
        </w:rPr>
      </w:pPr>
    </w:p>
    <w:p w:rsidR="002D08C2" w:rsidRPr="002D08C2" w:rsidRDefault="002D08C2" w:rsidP="002D08C2">
      <w:pPr>
        <w:spacing w:after="60"/>
        <w:jc w:val="both"/>
        <w:rPr>
          <w:rFonts w:ascii="Times New Roman" w:hAnsi="Times New Roman" w:cs="Times New Roman"/>
        </w:rPr>
      </w:pPr>
      <w:r w:rsidRPr="002D08C2">
        <w:rPr>
          <w:rFonts w:ascii="Times New Roman" w:hAnsi="Times New Roman" w:cs="Times New Roman"/>
          <w:b/>
        </w:rPr>
        <w:t xml:space="preserve">Art. 4°. </w:t>
      </w:r>
      <w:r w:rsidRPr="002D08C2">
        <w:rPr>
          <w:rFonts w:ascii="Times New Roman" w:hAnsi="Times New Roman" w:cs="Times New Roman"/>
        </w:rPr>
        <w:t>Ficam alterados os anexos da Lei Municipal n. 7.573/2021, Lei de Diretrizes Orçamentárias para o exercício de 2022, para o Município de Araxá, passando a vigorar na forma dos anexos da presente lei.</w:t>
      </w:r>
    </w:p>
    <w:p w:rsidR="002D08C2" w:rsidRPr="002D08C2" w:rsidRDefault="002D08C2" w:rsidP="002D08C2">
      <w:pPr>
        <w:spacing w:after="60"/>
        <w:jc w:val="both"/>
        <w:rPr>
          <w:rFonts w:ascii="Times New Roman" w:hAnsi="Times New Roman" w:cs="Times New Roman"/>
        </w:rPr>
      </w:pPr>
    </w:p>
    <w:p w:rsidR="002D08C2" w:rsidRPr="002D08C2" w:rsidRDefault="002D08C2" w:rsidP="002D08C2">
      <w:pPr>
        <w:spacing w:after="60"/>
        <w:jc w:val="both"/>
        <w:rPr>
          <w:rFonts w:ascii="Times New Roman" w:hAnsi="Times New Roman" w:cs="Times New Roman"/>
        </w:rPr>
      </w:pPr>
      <w:r w:rsidRPr="002D08C2">
        <w:rPr>
          <w:rFonts w:ascii="Times New Roman" w:hAnsi="Times New Roman" w:cs="Times New Roman"/>
          <w:b/>
        </w:rPr>
        <w:t xml:space="preserve">Art. 5°. </w:t>
      </w:r>
      <w:r w:rsidRPr="002D08C2">
        <w:rPr>
          <w:rFonts w:ascii="Times New Roman" w:hAnsi="Times New Roman" w:cs="Times New Roman"/>
        </w:rPr>
        <w:t>Esta lei entra em vigor na data de sua publicação.</w:t>
      </w:r>
    </w:p>
    <w:p w:rsidR="002D08C2" w:rsidRPr="002D08C2" w:rsidRDefault="002D08C2" w:rsidP="002D08C2">
      <w:pPr>
        <w:spacing w:after="60"/>
        <w:jc w:val="both"/>
        <w:rPr>
          <w:rFonts w:ascii="Times New Roman" w:hAnsi="Times New Roman" w:cs="Times New Roman"/>
        </w:rPr>
      </w:pPr>
    </w:p>
    <w:p w:rsidR="002D08C2" w:rsidRPr="002D08C2" w:rsidRDefault="002D08C2" w:rsidP="002D08C2">
      <w:pPr>
        <w:spacing w:after="60"/>
        <w:jc w:val="center"/>
        <w:rPr>
          <w:rFonts w:ascii="Times New Roman" w:hAnsi="Times New Roman" w:cs="Times New Roman"/>
        </w:rPr>
      </w:pPr>
      <w:r w:rsidRPr="002D08C2">
        <w:rPr>
          <w:rFonts w:ascii="Times New Roman" w:hAnsi="Times New Roman" w:cs="Times New Roman"/>
        </w:rPr>
        <w:t>Comissão de Finanças e Orçamento</w:t>
      </w:r>
    </w:p>
    <w:p w:rsidR="002D08C2" w:rsidRPr="002D08C2" w:rsidRDefault="002D08C2" w:rsidP="002D08C2">
      <w:pPr>
        <w:spacing w:after="60"/>
        <w:jc w:val="center"/>
        <w:rPr>
          <w:rFonts w:ascii="Times New Roman" w:hAnsi="Times New Roman" w:cs="Times New Roman"/>
        </w:rPr>
      </w:pPr>
    </w:p>
    <w:p w:rsidR="002D08C2" w:rsidRPr="002D08C2" w:rsidRDefault="002D08C2" w:rsidP="002D08C2">
      <w:pPr>
        <w:spacing w:after="60"/>
        <w:jc w:val="center"/>
        <w:rPr>
          <w:rFonts w:ascii="Times New Roman" w:hAnsi="Times New Roman" w:cs="Times New Roman"/>
        </w:rPr>
      </w:pPr>
    </w:p>
    <w:p w:rsidR="002D08C2" w:rsidRPr="002D08C2" w:rsidRDefault="002D08C2" w:rsidP="002D08C2">
      <w:pPr>
        <w:jc w:val="center"/>
        <w:rPr>
          <w:rFonts w:ascii="Times New Roman" w:hAnsi="Times New Roman" w:cs="Times New Roman"/>
        </w:rPr>
      </w:pPr>
      <w:r w:rsidRPr="002D08C2">
        <w:rPr>
          <w:rFonts w:ascii="Times New Roman" w:hAnsi="Times New Roman" w:cs="Times New Roman"/>
        </w:rPr>
        <w:t>Vereador Luís Carlos Bittencourt</w:t>
      </w:r>
    </w:p>
    <w:p w:rsidR="002D08C2" w:rsidRPr="002D08C2" w:rsidRDefault="002D08C2" w:rsidP="002D08C2">
      <w:pPr>
        <w:spacing w:after="60"/>
        <w:jc w:val="center"/>
        <w:rPr>
          <w:rFonts w:ascii="Times New Roman" w:hAnsi="Times New Roman" w:cs="Times New Roman"/>
        </w:rPr>
      </w:pPr>
      <w:r w:rsidRPr="002D08C2">
        <w:rPr>
          <w:rFonts w:ascii="Times New Roman" w:hAnsi="Times New Roman" w:cs="Times New Roman"/>
        </w:rPr>
        <w:t>Relator</w:t>
      </w:r>
    </w:p>
    <w:p w:rsidR="002D08C2" w:rsidRPr="002D08C2" w:rsidRDefault="002D08C2" w:rsidP="002D08C2">
      <w:pPr>
        <w:spacing w:after="60"/>
        <w:jc w:val="center"/>
        <w:rPr>
          <w:rFonts w:ascii="Times New Roman" w:hAnsi="Times New Roman" w:cs="Times New Roman"/>
        </w:rPr>
      </w:pPr>
    </w:p>
    <w:p w:rsidR="002D08C2" w:rsidRPr="002D08C2" w:rsidRDefault="002D08C2" w:rsidP="002D08C2">
      <w:pPr>
        <w:spacing w:after="60"/>
        <w:jc w:val="both"/>
        <w:rPr>
          <w:rFonts w:ascii="Times New Roman" w:hAnsi="Times New Roman" w:cs="Times New Roman"/>
        </w:rPr>
      </w:pPr>
      <w:r w:rsidRPr="002D08C2">
        <w:rPr>
          <w:rFonts w:ascii="Times New Roman" w:hAnsi="Times New Roman" w:cs="Times New Roman"/>
        </w:rPr>
        <w:t>De acordo:</w:t>
      </w:r>
    </w:p>
    <w:p w:rsidR="002D08C2" w:rsidRPr="002D08C2" w:rsidRDefault="002D08C2" w:rsidP="002D08C2">
      <w:pPr>
        <w:jc w:val="center"/>
        <w:rPr>
          <w:rFonts w:ascii="Times New Roman" w:hAnsi="Times New Roman" w:cs="Times New Roman"/>
        </w:rPr>
      </w:pPr>
      <w:r w:rsidRPr="002D08C2">
        <w:rPr>
          <w:rFonts w:ascii="Times New Roman" w:hAnsi="Times New Roman" w:cs="Times New Roman"/>
        </w:rPr>
        <w:t xml:space="preserve">Vereador Evaldo Juvenal da Silva (Evaldo do </w:t>
      </w:r>
      <w:proofErr w:type="spellStart"/>
      <w:r w:rsidRPr="002D08C2">
        <w:rPr>
          <w:rFonts w:ascii="Times New Roman" w:hAnsi="Times New Roman" w:cs="Times New Roman"/>
        </w:rPr>
        <w:t>Ferrocarril</w:t>
      </w:r>
      <w:proofErr w:type="spellEnd"/>
      <w:r w:rsidRPr="002D08C2">
        <w:rPr>
          <w:rFonts w:ascii="Times New Roman" w:hAnsi="Times New Roman" w:cs="Times New Roman"/>
        </w:rPr>
        <w:t>)</w:t>
      </w:r>
    </w:p>
    <w:p w:rsidR="002D08C2" w:rsidRPr="002D08C2" w:rsidRDefault="002D08C2" w:rsidP="002D08C2">
      <w:pPr>
        <w:spacing w:after="60"/>
        <w:jc w:val="center"/>
        <w:rPr>
          <w:rFonts w:ascii="Times New Roman" w:hAnsi="Times New Roman" w:cs="Times New Roman"/>
        </w:rPr>
      </w:pPr>
      <w:r w:rsidRPr="002D08C2">
        <w:rPr>
          <w:rFonts w:ascii="Times New Roman" w:hAnsi="Times New Roman" w:cs="Times New Roman"/>
        </w:rPr>
        <w:t>Presidente</w:t>
      </w:r>
    </w:p>
    <w:p w:rsidR="002D08C2" w:rsidRPr="002D08C2" w:rsidRDefault="002D08C2" w:rsidP="002D08C2">
      <w:pPr>
        <w:spacing w:after="60"/>
        <w:jc w:val="center"/>
        <w:rPr>
          <w:rFonts w:ascii="Times New Roman" w:hAnsi="Times New Roman" w:cs="Times New Roman"/>
        </w:rPr>
      </w:pPr>
    </w:p>
    <w:p w:rsidR="002D08C2" w:rsidRPr="002D08C2" w:rsidRDefault="002D08C2" w:rsidP="002D08C2">
      <w:pPr>
        <w:jc w:val="center"/>
        <w:rPr>
          <w:rFonts w:ascii="Times New Roman" w:hAnsi="Times New Roman" w:cs="Times New Roman"/>
          <w:color w:val="212529"/>
          <w:shd w:val="clear" w:color="auto" w:fill="FFFFFF"/>
        </w:rPr>
      </w:pPr>
      <w:r w:rsidRPr="002D08C2">
        <w:rPr>
          <w:rFonts w:ascii="Times New Roman" w:hAnsi="Times New Roman" w:cs="Times New Roman"/>
        </w:rPr>
        <w:t xml:space="preserve">Vereador </w:t>
      </w:r>
      <w:r w:rsidRPr="002D08C2">
        <w:rPr>
          <w:rFonts w:ascii="Times New Roman" w:hAnsi="Times New Roman" w:cs="Times New Roman"/>
          <w:color w:val="212529"/>
          <w:shd w:val="clear" w:color="auto" w:fill="FFFFFF"/>
        </w:rPr>
        <w:t xml:space="preserve">Ricardo Assis </w:t>
      </w:r>
      <w:proofErr w:type="spellStart"/>
      <w:r w:rsidRPr="002D08C2">
        <w:rPr>
          <w:rFonts w:ascii="Times New Roman" w:hAnsi="Times New Roman" w:cs="Times New Roman"/>
          <w:color w:val="212529"/>
          <w:shd w:val="clear" w:color="auto" w:fill="FFFFFF"/>
        </w:rPr>
        <w:t>Gianvechio</w:t>
      </w:r>
      <w:proofErr w:type="spellEnd"/>
      <w:r w:rsidRPr="002D08C2">
        <w:rPr>
          <w:rFonts w:ascii="Times New Roman" w:hAnsi="Times New Roman" w:cs="Times New Roman"/>
          <w:color w:val="212529"/>
          <w:shd w:val="clear" w:color="auto" w:fill="FFFFFF"/>
        </w:rPr>
        <w:t xml:space="preserve"> Zidane (Dr. Zidane)</w:t>
      </w:r>
    </w:p>
    <w:p w:rsidR="002D08C2" w:rsidRPr="002D08C2" w:rsidRDefault="002D08C2" w:rsidP="002D08C2">
      <w:pPr>
        <w:jc w:val="center"/>
        <w:rPr>
          <w:rFonts w:ascii="Times New Roman" w:hAnsi="Times New Roman" w:cs="Times New Roman"/>
          <w:color w:val="212529"/>
          <w:shd w:val="clear" w:color="auto" w:fill="FFFFFF"/>
        </w:rPr>
      </w:pPr>
      <w:r w:rsidRPr="002D08C2">
        <w:rPr>
          <w:rFonts w:ascii="Times New Roman" w:hAnsi="Times New Roman" w:cs="Times New Roman"/>
          <w:color w:val="212529"/>
          <w:shd w:val="clear" w:color="auto" w:fill="FFFFFF"/>
        </w:rPr>
        <w:t>Membro</w:t>
      </w:r>
    </w:p>
    <w:p w:rsidR="002D08C2" w:rsidRPr="002D08C2" w:rsidRDefault="002D08C2" w:rsidP="002D08C2">
      <w:pPr>
        <w:jc w:val="center"/>
        <w:rPr>
          <w:rFonts w:ascii="Times New Roman" w:hAnsi="Times New Roman" w:cs="Times New Roman"/>
          <w:color w:val="212529"/>
          <w:shd w:val="clear" w:color="auto" w:fill="FFFFFF"/>
        </w:rPr>
      </w:pPr>
    </w:p>
    <w:p w:rsidR="002D08C2" w:rsidRPr="002D08C2" w:rsidRDefault="002D08C2" w:rsidP="002D08C2">
      <w:pPr>
        <w:jc w:val="center"/>
        <w:rPr>
          <w:rFonts w:ascii="Times New Roman" w:hAnsi="Times New Roman" w:cs="Times New Roman"/>
          <w:color w:val="212529"/>
          <w:shd w:val="clear" w:color="auto" w:fill="FFFFFF"/>
        </w:rPr>
      </w:pPr>
    </w:p>
    <w:p w:rsidR="002D08C2" w:rsidRPr="002D08C2" w:rsidRDefault="002D08C2" w:rsidP="002D08C2">
      <w:pPr>
        <w:jc w:val="center"/>
        <w:rPr>
          <w:rFonts w:ascii="Times New Roman" w:hAnsi="Times New Roman" w:cs="Times New Roman"/>
          <w:color w:val="212529"/>
          <w:shd w:val="clear" w:color="auto" w:fill="FFFFFF"/>
        </w:rPr>
      </w:pPr>
    </w:p>
    <w:p w:rsidR="002D08C2" w:rsidRPr="002D08C2" w:rsidRDefault="002D08C2" w:rsidP="002D08C2">
      <w:pPr>
        <w:jc w:val="center"/>
        <w:rPr>
          <w:rFonts w:ascii="Times New Roman" w:hAnsi="Times New Roman" w:cs="Times New Roman"/>
          <w:color w:val="212529"/>
          <w:shd w:val="clear" w:color="auto" w:fill="FFFFFF"/>
        </w:rPr>
      </w:pPr>
    </w:p>
    <w:p w:rsidR="002D08C2" w:rsidRPr="002D08C2" w:rsidRDefault="002D08C2" w:rsidP="002D08C2">
      <w:pPr>
        <w:jc w:val="center"/>
        <w:rPr>
          <w:rFonts w:ascii="Times New Roman" w:hAnsi="Times New Roman" w:cs="Times New Roman"/>
          <w:color w:val="212529"/>
          <w:shd w:val="clear" w:color="auto" w:fill="FFFFFF"/>
        </w:rPr>
      </w:pPr>
    </w:p>
    <w:p w:rsidR="002D08C2" w:rsidRPr="002D08C2" w:rsidRDefault="002D08C2" w:rsidP="002D08C2">
      <w:pPr>
        <w:jc w:val="center"/>
        <w:rPr>
          <w:rFonts w:ascii="Times New Roman" w:hAnsi="Times New Roman" w:cs="Times New Roman"/>
          <w:b/>
        </w:rPr>
      </w:pPr>
      <w:r w:rsidRPr="002D08C2">
        <w:rPr>
          <w:rFonts w:ascii="Times New Roman" w:hAnsi="Times New Roman" w:cs="Times New Roman"/>
          <w:b/>
        </w:rPr>
        <w:lastRenderedPageBreak/>
        <w:t>JUSTIFICATIVAS</w:t>
      </w:r>
    </w:p>
    <w:p w:rsidR="002D08C2" w:rsidRPr="002D08C2" w:rsidRDefault="002D08C2" w:rsidP="002D08C2">
      <w:pPr>
        <w:jc w:val="center"/>
        <w:rPr>
          <w:rFonts w:ascii="Times New Roman" w:hAnsi="Times New Roman" w:cs="Times New Roman"/>
        </w:rPr>
      </w:pPr>
    </w:p>
    <w:p w:rsidR="002D08C2" w:rsidRPr="002D08C2" w:rsidRDefault="002D08C2" w:rsidP="002D08C2">
      <w:pPr>
        <w:jc w:val="both"/>
        <w:rPr>
          <w:rFonts w:ascii="Times New Roman" w:hAnsi="Times New Roman" w:cs="Times New Roman"/>
        </w:rPr>
      </w:pPr>
      <w:r w:rsidRPr="002D08C2">
        <w:rPr>
          <w:rFonts w:ascii="Times New Roman" w:hAnsi="Times New Roman" w:cs="Times New Roman"/>
        </w:rPr>
        <w:t>Entendemos como absolutamente necessário o Projeto de Lei Substitutivo, ora apresentado, pelos seguintes motivos:</w:t>
      </w:r>
    </w:p>
    <w:p w:rsidR="002D08C2" w:rsidRPr="002D08C2" w:rsidRDefault="002D08C2" w:rsidP="002D08C2">
      <w:pPr>
        <w:jc w:val="both"/>
        <w:rPr>
          <w:rFonts w:ascii="Times New Roman" w:hAnsi="Times New Roman" w:cs="Times New Roman"/>
        </w:rPr>
      </w:pPr>
      <w:r w:rsidRPr="002D08C2">
        <w:rPr>
          <w:rFonts w:ascii="Times New Roman" w:hAnsi="Times New Roman" w:cs="Times New Roman"/>
        </w:rPr>
        <w:t xml:space="preserve">1 – A Reserva de Contingência: estabelece o art. 28 da Lei de Diretrizes </w:t>
      </w:r>
      <w:proofErr w:type="gramStart"/>
      <w:r w:rsidRPr="002D08C2">
        <w:rPr>
          <w:rFonts w:ascii="Times New Roman" w:hAnsi="Times New Roman" w:cs="Times New Roman"/>
        </w:rPr>
        <w:t>Orçamentárias vigente</w:t>
      </w:r>
      <w:proofErr w:type="gramEnd"/>
      <w:r w:rsidRPr="002D08C2">
        <w:rPr>
          <w:rFonts w:ascii="Times New Roman" w:hAnsi="Times New Roman" w:cs="Times New Roman"/>
        </w:rPr>
        <w:t xml:space="preserve"> (ei n. 7.573/2021):</w:t>
      </w:r>
    </w:p>
    <w:p w:rsidR="002D08C2" w:rsidRPr="002D08C2" w:rsidRDefault="002D08C2" w:rsidP="002D08C2">
      <w:pPr>
        <w:ind w:left="708"/>
        <w:jc w:val="both"/>
        <w:rPr>
          <w:rFonts w:ascii="Times New Roman" w:hAnsi="Times New Roman" w:cs="Times New Roman"/>
          <w:i/>
        </w:rPr>
      </w:pPr>
      <w:r w:rsidRPr="002D08C2">
        <w:rPr>
          <w:rFonts w:ascii="Times New Roman" w:hAnsi="Times New Roman" w:cs="Times New Roman"/>
          <w:i/>
        </w:rPr>
        <w:t>“O Orçamento para o exercício de 2022 poderá destinar recursos para a Reserva de Contingência, de no mínimo 1% (um por cento) das Receitas Correntes Líquidas previstas e deverá conter autorização para abertura de créditos adicionais suplementares sobre o valor total do orçamento de cada entidade para a abertura. (art. 5º, III da LRF)”.</w:t>
      </w:r>
    </w:p>
    <w:p w:rsidR="002D08C2" w:rsidRPr="002D08C2" w:rsidRDefault="002D08C2" w:rsidP="002D08C2">
      <w:pPr>
        <w:jc w:val="both"/>
        <w:rPr>
          <w:rFonts w:ascii="Times New Roman" w:hAnsi="Times New Roman" w:cs="Times New Roman"/>
        </w:rPr>
      </w:pPr>
      <w:r w:rsidRPr="002D08C2">
        <w:rPr>
          <w:rFonts w:ascii="Times New Roman" w:hAnsi="Times New Roman" w:cs="Times New Roman"/>
        </w:rPr>
        <w:t>O dispositivo faculta – a expressão poderá destinar recursos para a Reserva de Contingência – ao Poder Executivo destinar ou não recursos para a Reserva de Contingência.</w:t>
      </w:r>
    </w:p>
    <w:p w:rsidR="002D08C2" w:rsidRPr="002D08C2" w:rsidRDefault="002D08C2" w:rsidP="002D08C2">
      <w:pPr>
        <w:jc w:val="both"/>
        <w:rPr>
          <w:rFonts w:ascii="Times New Roman" w:hAnsi="Times New Roman" w:cs="Times New Roman"/>
          <w:color w:val="000000"/>
          <w:shd w:val="clear" w:color="auto" w:fill="FFFFFF"/>
        </w:rPr>
      </w:pPr>
      <w:r w:rsidRPr="002D08C2">
        <w:rPr>
          <w:rFonts w:ascii="Times New Roman" w:hAnsi="Times New Roman" w:cs="Times New Roman"/>
        </w:rPr>
        <w:t xml:space="preserve">A opção do Poder Executivo foi, nos exatos termos do inciso III, do art. 5°, da Lei de Responsabilidade Fiscal (o projeto de lei orçamentária anual </w:t>
      </w:r>
      <w:r w:rsidRPr="002D08C2">
        <w:rPr>
          <w:rFonts w:ascii="Times New Roman" w:hAnsi="Times New Roman" w:cs="Times New Roman"/>
          <w:color w:val="000000"/>
          <w:shd w:val="clear" w:color="auto" w:fill="FFFFFF"/>
        </w:rPr>
        <w:t xml:space="preserve">conterá reserva de contingência, cuja forma de utilização e montante, definido com base na receita corrente líquida, serão </w:t>
      </w:r>
      <w:proofErr w:type="gramStart"/>
      <w:r w:rsidRPr="002D08C2">
        <w:rPr>
          <w:rFonts w:ascii="Times New Roman" w:hAnsi="Times New Roman" w:cs="Times New Roman"/>
          <w:color w:val="000000"/>
          <w:shd w:val="clear" w:color="auto" w:fill="FFFFFF"/>
        </w:rPr>
        <w:t>estabelecidos na lei de diretrizes orçamentárias</w:t>
      </w:r>
      <w:proofErr w:type="gramEnd"/>
      <w:r w:rsidRPr="002D08C2">
        <w:rPr>
          <w:rFonts w:ascii="Times New Roman" w:hAnsi="Times New Roman" w:cs="Times New Roman"/>
          <w:color w:val="000000"/>
          <w:shd w:val="clear" w:color="auto" w:fill="FFFFFF"/>
        </w:rPr>
        <w:t>), destinar à Reserva de Contingência, no mínimo, o valor equivalente a 1% das Receitas Correntes Líquidas.</w:t>
      </w:r>
    </w:p>
    <w:p w:rsidR="002D08C2" w:rsidRPr="002D08C2" w:rsidRDefault="002D08C2" w:rsidP="002D08C2">
      <w:pPr>
        <w:jc w:val="both"/>
        <w:rPr>
          <w:rFonts w:ascii="Times New Roman" w:hAnsi="Times New Roman" w:cs="Times New Roman"/>
        </w:rPr>
      </w:pPr>
      <w:r w:rsidRPr="002D08C2">
        <w:rPr>
          <w:rFonts w:ascii="Times New Roman" w:hAnsi="Times New Roman" w:cs="Times New Roman"/>
          <w:color w:val="000000"/>
          <w:shd w:val="clear" w:color="auto" w:fill="FFFFFF"/>
        </w:rPr>
        <w:t xml:space="preserve">A Receita Corrente Líquida estimada no projeto de lei orçamentária no demonstrativo das despesas com pessoal foi da ordem de R$ </w:t>
      </w:r>
      <w:r w:rsidRPr="002D08C2">
        <w:rPr>
          <w:rFonts w:ascii="Times New Roman" w:hAnsi="Times New Roman" w:cs="Times New Roman"/>
        </w:rPr>
        <w:t xml:space="preserve">502.573.000,00. Um por cento deste valor é igual a R$ 5.025.730,00. No entanto, violando-se o art. </w:t>
      </w:r>
      <w:proofErr w:type="gramStart"/>
      <w:r w:rsidRPr="002D08C2">
        <w:rPr>
          <w:rFonts w:ascii="Times New Roman" w:hAnsi="Times New Roman" w:cs="Times New Roman"/>
        </w:rPr>
        <w:t>28 acima transcrito</w:t>
      </w:r>
      <w:proofErr w:type="gramEnd"/>
      <w:r w:rsidRPr="002D08C2">
        <w:rPr>
          <w:rFonts w:ascii="Times New Roman" w:hAnsi="Times New Roman" w:cs="Times New Roman"/>
        </w:rPr>
        <w:t>, foi fixado um valor de R$ 1.735.000,00, bem abaixo do mínimo indicado pelo próprio Poder Executivo.</w:t>
      </w:r>
    </w:p>
    <w:p w:rsidR="002D08C2" w:rsidRPr="002D08C2" w:rsidRDefault="002D08C2" w:rsidP="002D08C2">
      <w:pPr>
        <w:jc w:val="both"/>
        <w:rPr>
          <w:rFonts w:ascii="Times New Roman" w:hAnsi="Times New Roman" w:cs="Times New Roman"/>
        </w:rPr>
      </w:pPr>
      <w:r w:rsidRPr="002D08C2">
        <w:rPr>
          <w:rFonts w:ascii="Times New Roman" w:hAnsi="Times New Roman" w:cs="Times New Roman"/>
        </w:rPr>
        <w:t xml:space="preserve">O equívoco, obrigatoriamente, há de ser corrigido sob pena de ficar </w:t>
      </w:r>
      <w:proofErr w:type="gramStart"/>
      <w:r w:rsidRPr="002D08C2">
        <w:rPr>
          <w:rFonts w:ascii="Times New Roman" w:hAnsi="Times New Roman" w:cs="Times New Roman"/>
        </w:rPr>
        <w:t>evidenciado incompatibilidade da lei orçamentária com a lei de diretrizes orçamentárias</w:t>
      </w:r>
      <w:proofErr w:type="gramEnd"/>
      <w:r w:rsidRPr="002D08C2">
        <w:rPr>
          <w:rFonts w:ascii="Times New Roman" w:hAnsi="Times New Roman" w:cs="Times New Roman"/>
        </w:rPr>
        <w:t>;</w:t>
      </w:r>
    </w:p>
    <w:p w:rsidR="002D08C2" w:rsidRPr="002D08C2" w:rsidRDefault="002D08C2" w:rsidP="002D08C2">
      <w:pPr>
        <w:jc w:val="both"/>
        <w:rPr>
          <w:rFonts w:ascii="Times New Roman" w:hAnsi="Times New Roman" w:cs="Times New Roman"/>
        </w:rPr>
      </w:pPr>
      <w:r w:rsidRPr="002D08C2">
        <w:rPr>
          <w:rFonts w:ascii="Times New Roman" w:hAnsi="Times New Roman" w:cs="Times New Roman"/>
        </w:rPr>
        <w:t xml:space="preserve">2 – as novas disposições do art. 39 passam a abrigar o anteriormente integrante do projeto de lei orçamentária, a qual observando </w:t>
      </w:r>
      <w:proofErr w:type="gramStart"/>
      <w:r w:rsidRPr="002D08C2">
        <w:rPr>
          <w:rFonts w:ascii="Times New Roman" w:hAnsi="Times New Roman" w:cs="Times New Roman"/>
        </w:rPr>
        <w:t xml:space="preserve">o </w:t>
      </w:r>
      <w:proofErr w:type="spellStart"/>
      <w:r w:rsidRPr="002D08C2">
        <w:rPr>
          <w:rFonts w:ascii="Times New Roman" w:hAnsi="Times New Roman" w:cs="Times New Roman"/>
        </w:rPr>
        <w:t>´princípio</w:t>
      </w:r>
      <w:proofErr w:type="spellEnd"/>
      <w:proofErr w:type="gramEnd"/>
      <w:r w:rsidRPr="002D08C2">
        <w:rPr>
          <w:rFonts w:ascii="Times New Roman" w:hAnsi="Times New Roman" w:cs="Times New Roman"/>
        </w:rPr>
        <w:t xml:space="preserve"> da exclusividade orçamentária não pode dispor em seu texto sobre execução orçamentária, mas tão somente, sobre receitas e despesas, excetuadas autorização para realização de operações de crédito, e para a abertura de créditos adicionais. Dessa forma, os artigos 9°, 10, 12 e 13 suprimidos em emendas à Lei Orçamentária, passam a integrar, de acordo com proposição desta Comissão de Finanças e Orçamento, a Lei de Diretrizes Orçamentárias;</w:t>
      </w:r>
    </w:p>
    <w:p w:rsidR="002D08C2" w:rsidRPr="002D08C2" w:rsidRDefault="002D08C2" w:rsidP="002D08C2">
      <w:pPr>
        <w:shd w:val="clear" w:color="auto" w:fill="FFFFFF"/>
        <w:spacing w:line="235" w:lineRule="atLeast"/>
        <w:jc w:val="both"/>
        <w:rPr>
          <w:rFonts w:ascii="Times New Roman" w:eastAsia="Times New Roman" w:hAnsi="Times New Roman" w:cs="Times New Roman"/>
          <w:color w:val="222222"/>
        </w:rPr>
      </w:pPr>
      <w:r w:rsidRPr="002D08C2">
        <w:rPr>
          <w:rFonts w:ascii="Times New Roman" w:hAnsi="Times New Roman" w:cs="Times New Roman"/>
        </w:rPr>
        <w:t>3 – O acréscimo de um parágrafo único ao art. 46: a</w:t>
      </w:r>
      <w:r w:rsidRPr="002D08C2">
        <w:rPr>
          <w:rFonts w:ascii="Times New Roman" w:eastAsia="Times New Roman" w:hAnsi="Times New Roman" w:cs="Times New Roman"/>
          <w:color w:val="000000"/>
        </w:rPr>
        <w:t xml:space="preserve"> Lei Federal Complementar n. 173/2020 veio a lume objetivando, dentre outros, a limitação das despesas com pessoal, circunscrita ao período de tempo compreendido entre a vigência da lei Complementar, até 31 de janeiro de 2021.</w:t>
      </w:r>
    </w:p>
    <w:p w:rsidR="002D08C2" w:rsidRPr="002D08C2" w:rsidRDefault="002D08C2" w:rsidP="002D08C2">
      <w:pPr>
        <w:shd w:val="clear" w:color="auto" w:fill="FFFFFF"/>
        <w:spacing w:line="235" w:lineRule="atLeast"/>
        <w:jc w:val="both"/>
        <w:rPr>
          <w:rFonts w:ascii="Times New Roman" w:eastAsia="Times New Roman" w:hAnsi="Times New Roman" w:cs="Times New Roman"/>
          <w:color w:val="222222"/>
        </w:rPr>
      </w:pPr>
      <w:r w:rsidRPr="002D08C2">
        <w:rPr>
          <w:rFonts w:ascii="Times New Roman" w:eastAsia="Times New Roman" w:hAnsi="Times New Roman" w:cs="Times New Roman"/>
          <w:color w:val="000000"/>
        </w:rPr>
        <w:t>O teor do inciso IX é peremptório ao afirmar que as suas disposições não trarão </w:t>
      </w:r>
      <w:r w:rsidRPr="002D08C2">
        <w:rPr>
          <w:rFonts w:ascii="Times New Roman" w:eastAsia="Times New Roman" w:hAnsi="Times New Roman" w:cs="Times New Roman"/>
          <w:i/>
          <w:iCs/>
          <w:color w:val="000000"/>
        </w:rPr>
        <w:t>qualquer prejuízo para o tempo de </w:t>
      </w:r>
      <w:r w:rsidRPr="002D08C2">
        <w:rPr>
          <w:rFonts w:ascii="Times New Roman" w:eastAsia="Times New Roman" w:hAnsi="Times New Roman" w:cs="Times New Roman"/>
          <w:i/>
          <w:iCs/>
          <w:color w:val="000000"/>
          <w:u w:val="single"/>
        </w:rPr>
        <w:t>efetivo exercício</w:t>
      </w:r>
      <w:r w:rsidRPr="002D08C2">
        <w:rPr>
          <w:rFonts w:ascii="Times New Roman" w:eastAsia="Times New Roman" w:hAnsi="Times New Roman" w:cs="Times New Roman"/>
          <w:i/>
          <w:iCs/>
          <w:color w:val="000000"/>
        </w:rPr>
        <w:t>, aposentadoria, e quaisquer outros fins. </w:t>
      </w:r>
      <w:r w:rsidRPr="002D08C2">
        <w:rPr>
          <w:rFonts w:ascii="Times New Roman" w:eastAsia="Times New Roman" w:hAnsi="Times New Roman" w:cs="Times New Roman"/>
          <w:color w:val="000000"/>
        </w:rPr>
        <w:t>(grifou-se).</w:t>
      </w:r>
    </w:p>
    <w:p w:rsidR="002D08C2" w:rsidRPr="002D08C2" w:rsidRDefault="002D08C2" w:rsidP="002D08C2">
      <w:pPr>
        <w:shd w:val="clear" w:color="auto" w:fill="FFFFFF"/>
        <w:spacing w:line="235" w:lineRule="atLeast"/>
        <w:jc w:val="both"/>
        <w:rPr>
          <w:rFonts w:ascii="Times New Roman" w:eastAsia="Times New Roman" w:hAnsi="Times New Roman" w:cs="Times New Roman"/>
          <w:color w:val="222222"/>
        </w:rPr>
      </w:pPr>
      <w:r w:rsidRPr="002D08C2">
        <w:rPr>
          <w:rFonts w:ascii="Times New Roman" w:eastAsia="Times New Roman" w:hAnsi="Times New Roman" w:cs="Times New Roman"/>
          <w:color w:val="000000"/>
        </w:rPr>
        <w:t xml:space="preserve">Reconhecendo a possibilidade do efetivo exercício, mais à frente o legislador, atento à capacidade de auto-organização dos demais entes da federação, delegou à lei de diretrizes orçamentárias e à lei orçamentária disporem sobre autorizações que versem sobre as vedações previstas no art. 8°, desde que seus efeitos somente sejam </w:t>
      </w:r>
      <w:proofErr w:type="gramStart"/>
      <w:r w:rsidRPr="002D08C2">
        <w:rPr>
          <w:rFonts w:ascii="Times New Roman" w:eastAsia="Times New Roman" w:hAnsi="Times New Roman" w:cs="Times New Roman"/>
          <w:color w:val="000000"/>
        </w:rPr>
        <w:t>implementados</w:t>
      </w:r>
      <w:proofErr w:type="gramEnd"/>
      <w:r w:rsidRPr="002D08C2">
        <w:rPr>
          <w:rFonts w:ascii="Times New Roman" w:eastAsia="Times New Roman" w:hAnsi="Times New Roman" w:cs="Times New Roman"/>
          <w:color w:val="000000"/>
        </w:rPr>
        <w:t xml:space="preserve"> após o fim do prazo fixado, sendo vedada qualquer cláusula de retroatividade (§ 3º, do art. 8°).</w:t>
      </w:r>
    </w:p>
    <w:p w:rsidR="002D08C2" w:rsidRPr="002D08C2" w:rsidRDefault="002D08C2" w:rsidP="002D08C2">
      <w:pPr>
        <w:shd w:val="clear" w:color="auto" w:fill="FFFFFF"/>
        <w:spacing w:line="235" w:lineRule="atLeast"/>
        <w:jc w:val="both"/>
        <w:rPr>
          <w:rFonts w:ascii="Times New Roman" w:eastAsia="Times New Roman" w:hAnsi="Times New Roman" w:cs="Times New Roman"/>
          <w:color w:val="222222"/>
        </w:rPr>
      </w:pPr>
      <w:r w:rsidRPr="002D08C2">
        <w:rPr>
          <w:rFonts w:ascii="Times New Roman" w:eastAsia="Times New Roman" w:hAnsi="Times New Roman" w:cs="Times New Roman"/>
          <w:color w:val="000000"/>
        </w:rPr>
        <w:t>Na Repercussão Geral no Recurso Extraordinário n. </w:t>
      </w:r>
      <w:r w:rsidRPr="002D08C2">
        <w:rPr>
          <w:rFonts w:ascii="Times New Roman" w:eastAsia="Times New Roman" w:hAnsi="Times New Roman" w:cs="Times New Roman"/>
          <w:color w:val="222222"/>
        </w:rPr>
        <w:t>1.311.742, o Supremo Tribunal Federal julgou o Tema nº 1137, ocasião em que se fixou a seguinte tese:</w:t>
      </w:r>
    </w:p>
    <w:p w:rsidR="002D08C2" w:rsidRPr="002D08C2" w:rsidRDefault="002D08C2" w:rsidP="002D08C2">
      <w:pPr>
        <w:shd w:val="clear" w:color="auto" w:fill="FFFFFF"/>
        <w:spacing w:line="235" w:lineRule="atLeast"/>
        <w:ind w:left="708"/>
        <w:jc w:val="both"/>
        <w:rPr>
          <w:rFonts w:ascii="Times New Roman" w:eastAsia="Times New Roman" w:hAnsi="Times New Roman" w:cs="Times New Roman"/>
          <w:color w:val="222222"/>
        </w:rPr>
      </w:pPr>
      <w:r w:rsidRPr="002D08C2">
        <w:rPr>
          <w:rFonts w:ascii="Times New Roman" w:eastAsia="Times New Roman" w:hAnsi="Times New Roman" w:cs="Times New Roman"/>
          <w:color w:val="222222"/>
        </w:rPr>
        <w:t xml:space="preserve">É constitucional o artigo 8º da Lei Complementar 173/2020, editado no âmbito do Programa Federativo de Enfrentamento ao </w:t>
      </w:r>
      <w:proofErr w:type="spellStart"/>
      <w:r w:rsidRPr="002D08C2">
        <w:rPr>
          <w:rFonts w:ascii="Times New Roman" w:eastAsia="Times New Roman" w:hAnsi="Times New Roman" w:cs="Times New Roman"/>
          <w:color w:val="222222"/>
        </w:rPr>
        <w:t>Coronavírus</w:t>
      </w:r>
      <w:proofErr w:type="spellEnd"/>
      <w:r w:rsidRPr="002D08C2">
        <w:rPr>
          <w:rFonts w:ascii="Times New Roman" w:eastAsia="Times New Roman" w:hAnsi="Times New Roman" w:cs="Times New Roman"/>
          <w:color w:val="222222"/>
        </w:rPr>
        <w:t xml:space="preserve"> </w:t>
      </w:r>
      <w:proofErr w:type="spellStart"/>
      <w:r w:rsidRPr="002D08C2">
        <w:rPr>
          <w:rFonts w:ascii="Times New Roman" w:eastAsia="Times New Roman" w:hAnsi="Times New Roman" w:cs="Times New Roman"/>
          <w:color w:val="222222"/>
        </w:rPr>
        <w:t>SARS-CoV</w:t>
      </w:r>
      <w:proofErr w:type="spellEnd"/>
      <w:r w:rsidRPr="002D08C2">
        <w:rPr>
          <w:rFonts w:ascii="Times New Roman" w:eastAsia="Times New Roman" w:hAnsi="Times New Roman" w:cs="Times New Roman"/>
          <w:color w:val="222222"/>
        </w:rPr>
        <w:t>-2 (</w:t>
      </w:r>
      <w:proofErr w:type="spellStart"/>
      <w:r w:rsidRPr="002D08C2">
        <w:rPr>
          <w:rFonts w:ascii="Times New Roman" w:eastAsia="Times New Roman" w:hAnsi="Times New Roman" w:cs="Times New Roman"/>
          <w:color w:val="222222"/>
        </w:rPr>
        <w:t>Covid</w:t>
      </w:r>
      <w:proofErr w:type="spellEnd"/>
      <w:r w:rsidRPr="002D08C2">
        <w:rPr>
          <w:rFonts w:ascii="Times New Roman" w:eastAsia="Times New Roman" w:hAnsi="Times New Roman" w:cs="Times New Roman"/>
          <w:color w:val="222222"/>
        </w:rPr>
        <w:t>-19).</w:t>
      </w:r>
    </w:p>
    <w:p w:rsidR="002D08C2" w:rsidRPr="002D08C2" w:rsidRDefault="002D08C2" w:rsidP="002D08C2">
      <w:pPr>
        <w:shd w:val="clear" w:color="auto" w:fill="FFFFFF"/>
        <w:spacing w:line="235" w:lineRule="atLeast"/>
        <w:jc w:val="both"/>
        <w:rPr>
          <w:rFonts w:ascii="Times New Roman" w:eastAsia="Times New Roman" w:hAnsi="Times New Roman" w:cs="Times New Roman"/>
          <w:color w:val="222222"/>
        </w:rPr>
      </w:pPr>
      <w:r w:rsidRPr="002D08C2">
        <w:rPr>
          <w:rFonts w:ascii="Times New Roman" w:eastAsia="Times New Roman" w:hAnsi="Times New Roman" w:cs="Times New Roman"/>
          <w:color w:val="222222"/>
        </w:rPr>
        <w:lastRenderedPageBreak/>
        <w:t xml:space="preserve">Estribado no entendimento de que as matérias versadas nos </w:t>
      </w:r>
      <w:proofErr w:type="spellStart"/>
      <w:r w:rsidRPr="002D08C2">
        <w:rPr>
          <w:rFonts w:ascii="Times New Roman" w:eastAsia="Times New Roman" w:hAnsi="Times New Roman" w:cs="Times New Roman"/>
          <w:color w:val="222222"/>
        </w:rPr>
        <w:t>arts</w:t>
      </w:r>
      <w:proofErr w:type="spellEnd"/>
      <w:r w:rsidRPr="002D08C2">
        <w:rPr>
          <w:rFonts w:ascii="Times New Roman" w:eastAsia="Times New Roman" w:hAnsi="Times New Roman" w:cs="Times New Roman"/>
          <w:color w:val="222222"/>
        </w:rPr>
        <w:t>. 7º e 8º da LC n. 173, seriam de competência privativa do chefe do Poder Executivo, o Partido Rede Sustentabilidade na ADI n. 6.442 argui a inconstitucionalidade dos referidos artigos, tese rechaçada pelo Ministro Relator, Alexandre de Moraes, e acompanhada pelo Pleno, ficando assentado na Ementa da ADI em referência:</w:t>
      </w:r>
    </w:p>
    <w:p w:rsidR="002D08C2" w:rsidRPr="002D08C2" w:rsidRDefault="002D08C2" w:rsidP="002D08C2">
      <w:pPr>
        <w:shd w:val="clear" w:color="auto" w:fill="FFFFFF"/>
        <w:spacing w:line="235" w:lineRule="atLeast"/>
        <w:ind w:left="708"/>
        <w:jc w:val="both"/>
        <w:rPr>
          <w:rFonts w:ascii="Times New Roman" w:eastAsia="Times New Roman" w:hAnsi="Times New Roman" w:cs="Times New Roman"/>
          <w:color w:val="222222"/>
        </w:rPr>
      </w:pPr>
      <w:r w:rsidRPr="002D08C2">
        <w:rPr>
          <w:rFonts w:ascii="Times New Roman" w:eastAsia="Times New Roman" w:hAnsi="Times New Roman" w:cs="Times New Roman"/>
          <w:color w:val="222222"/>
        </w:rPr>
        <w:t xml:space="preserve">As providências estabelecidas nos </w:t>
      </w:r>
      <w:proofErr w:type="spellStart"/>
      <w:r w:rsidRPr="002D08C2">
        <w:rPr>
          <w:rFonts w:ascii="Times New Roman" w:eastAsia="Times New Roman" w:hAnsi="Times New Roman" w:cs="Times New Roman"/>
          <w:color w:val="222222"/>
        </w:rPr>
        <w:t>arts</w:t>
      </w:r>
      <w:proofErr w:type="spellEnd"/>
      <w:r w:rsidRPr="002D08C2">
        <w:rPr>
          <w:rFonts w:ascii="Times New Roman" w:eastAsia="Times New Roman" w:hAnsi="Times New Roman" w:cs="Times New Roman"/>
          <w:color w:val="222222"/>
        </w:rPr>
        <w:t xml:space="preserve">. 7º e 8º da LC 173/2020 versam sobre normas de direito financeiro, cujo objetivo é permitir que os entes federados </w:t>
      </w:r>
      <w:proofErr w:type="gramStart"/>
      <w:r w:rsidRPr="002D08C2">
        <w:rPr>
          <w:rFonts w:ascii="Times New Roman" w:eastAsia="Times New Roman" w:hAnsi="Times New Roman" w:cs="Times New Roman"/>
          <w:color w:val="222222"/>
        </w:rPr>
        <w:t>empreguem</w:t>
      </w:r>
      <w:proofErr w:type="gramEnd"/>
      <w:r w:rsidRPr="002D08C2">
        <w:rPr>
          <w:rFonts w:ascii="Times New Roman" w:eastAsia="Times New Roman" w:hAnsi="Times New Roman" w:cs="Times New Roman"/>
          <w:color w:val="222222"/>
        </w:rPr>
        <w:t xml:space="preserve"> esforços orçamentários para o enfrentamento da pandemia e impedir o aumento de despesas ao fim do mandato do gestor público, pelo que se mostra compatível com o art. 169 da Constituição Federal. Não há redução do valor da remuneração dos servidores públicos, uma vez que apenas proibiu-se, temporariamente, o aumento de despesas com pessoal para possibilitar que os entes federados enfrentem as crises decorrentes da pandemia de COVID-19, buscando sempre a manutenção do equilíbrio fiscal.</w:t>
      </w:r>
    </w:p>
    <w:p w:rsidR="002D08C2" w:rsidRPr="002D08C2" w:rsidRDefault="002D08C2" w:rsidP="002D08C2">
      <w:pPr>
        <w:shd w:val="clear" w:color="auto" w:fill="FFFFFF"/>
        <w:spacing w:line="235" w:lineRule="atLeast"/>
        <w:jc w:val="both"/>
        <w:rPr>
          <w:rFonts w:ascii="Times New Roman" w:eastAsia="Times New Roman" w:hAnsi="Times New Roman" w:cs="Times New Roman"/>
          <w:color w:val="222222"/>
        </w:rPr>
      </w:pPr>
      <w:r w:rsidRPr="002D08C2">
        <w:rPr>
          <w:rFonts w:ascii="Times New Roman" w:eastAsia="Times New Roman" w:hAnsi="Times New Roman" w:cs="Times New Roman"/>
          <w:color w:val="222222"/>
        </w:rPr>
        <w:t>Perfeita a conclusão do Relator, Lei que disponha sobre mecanismos de contenção de despesas públicas com pessoal versa sobre normas de finanças públicas, cujo projeto não é de iniciativa privativa do chefe do Poder Executivo, nem de qualquer dos Poderes, nem do Procurador Geral da República, todos dotados de autonomia administrativa e financeira.</w:t>
      </w:r>
    </w:p>
    <w:p w:rsidR="002D08C2" w:rsidRPr="002D08C2" w:rsidRDefault="002D08C2" w:rsidP="002D08C2">
      <w:pPr>
        <w:shd w:val="clear" w:color="auto" w:fill="FFFFFF"/>
        <w:spacing w:line="235" w:lineRule="atLeast"/>
        <w:jc w:val="both"/>
        <w:rPr>
          <w:rFonts w:ascii="Times New Roman" w:eastAsia="Times New Roman" w:hAnsi="Times New Roman" w:cs="Times New Roman"/>
          <w:color w:val="222222"/>
        </w:rPr>
      </w:pPr>
      <w:r w:rsidRPr="002D08C2">
        <w:rPr>
          <w:rFonts w:ascii="Times New Roman" w:eastAsia="Times New Roman" w:hAnsi="Times New Roman" w:cs="Times New Roman"/>
          <w:color w:val="222222"/>
        </w:rPr>
        <w:t xml:space="preserve">A norma que tratou de mecanismo de contenção de despesa com pessoal sendo uma norma de direito financeiro, também o será, a norma que, por expressa determinação daquela, </w:t>
      </w:r>
      <w:proofErr w:type="gramStart"/>
      <w:r w:rsidRPr="002D08C2">
        <w:rPr>
          <w:rFonts w:ascii="Times New Roman" w:eastAsia="Times New Roman" w:hAnsi="Times New Roman" w:cs="Times New Roman"/>
          <w:color w:val="222222"/>
        </w:rPr>
        <w:t>flexibilize</w:t>
      </w:r>
      <w:proofErr w:type="gramEnd"/>
      <w:r w:rsidRPr="002D08C2">
        <w:rPr>
          <w:rFonts w:ascii="Times New Roman" w:eastAsia="Times New Roman" w:hAnsi="Times New Roman" w:cs="Times New Roman"/>
          <w:color w:val="222222"/>
        </w:rPr>
        <w:t xml:space="preserve"> o mecanismo de contenção.</w:t>
      </w:r>
    </w:p>
    <w:p w:rsidR="002D08C2" w:rsidRPr="002D08C2" w:rsidRDefault="002D08C2" w:rsidP="002D08C2">
      <w:pPr>
        <w:jc w:val="both"/>
        <w:rPr>
          <w:rFonts w:ascii="Times New Roman" w:eastAsiaTheme="minorHAnsi" w:hAnsi="Times New Roman" w:cs="Times New Roman"/>
          <w:lang w:eastAsia="en-US"/>
        </w:rPr>
      </w:pPr>
      <w:r w:rsidRPr="002D08C2">
        <w:rPr>
          <w:rFonts w:ascii="Times New Roman" w:hAnsi="Times New Roman" w:cs="Times New Roman"/>
        </w:rPr>
        <w:t xml:space="preserve">Ao mesmo tempo, o art. 4° repete o proposto pelo Poder Executivo. </w:t>
      </w:r>
    </w:p>
    <w:p w:rsidR="00AF453B" w:rsidRPr="002D08C2" w:rsidRDefault="00AF453B" w:rsidP="002D08C2">
      <w:pPr>
        <w:rPr>
          <w:rFonts w:ascii="Times New Roman" w:hAnsi="Times New Roman" w:cs="Times New Roman"/>
        </w:rPr>
      </w:pPr>
    </w:p>
    <w:sectPr w:rsidR="00AF453B" w:rsidRPr="002D08C2" w:rsidSect="00883692">
      <w:headerReference w:type="even" r:id="rId6"/>
      <w:headerReference w:type="default" r:id="rId7"/>
      <w:footerReference w:type="default" r:id="rId8"/>
      <w:headerReference w:type="first" r:id="rId9"/>
      <w:pgSz w:w="11905" w:h="16837"/>
      <w:pgMar w:top="1417" w:right="1465" w:bottom="1417"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400" w:rsidRDefault="000F5400" w:rsidP="00B3555A">
      <w:r>
        <w:separator/>
      </w:r>
    </w:p>
  </w:endnote>
  <w:endnote w:type="continuationSeparator" w:id="0">
    <w:p w:rsidR="000F5400" w:rsidRDefault="000F5400" w:rsidP="00B355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DejaVu Sans">
    <w:altName w:val="Arial"/>
    <w:charset w:val="00"/>
    <w:family w:val="swiss"/>
    <w:pitch w:val="variable"/>
    <w:sig w:usb0="00000000" w:usb1="5200F5FF" w:usb2="0A242021"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EF" w:rsidRDefault="000F5400" w:rsidP="00B11ABE">
    <w:pPr>
      <w:pStyle w:val="Footer"/>
      <w:jc w:val="left"/>
      <w:rPr>
        <w:rFonts w:ascii="Verdana" w:hAnsi="Verdana"/>
        <w:sz w:val="16"/>
        <w:szCs w:val="16"/>
      </w:rPr>
    </w:pPr>
  </w:p>
  <w:p w:rsidR="00401CEF" w:rsidRPr="00B11ABE" w:rsidRDefault="000F5400" w:rsidP="00B11ABE">
    <w:pPr>
      <w:pStyle w:val="HorizontalLine"/>
      <w:rPr>
        <w:sz w:val="16"/>
        <w:szCs w:val="16"/>
      </w:rPr>
    </w:pPr>
  </w:p>
  <w:p w:rsidR="00401CEF" w:rsidRPr="00883692" w:rsidRDefault="00C214AE" w:rsidP="00B11ABE">
    <w:pPr>
      <w:pStyle w:val="Footer"/>
      <w:rPr>
        <w:rFonts w:ascii="Times New Roman" w:hAnsi="Times New Roman" w:cs="Times New Roman"/>
        <w:sz w:val="22"/>
        <w:szCs w:val="22"/>
      </w:rPr>
    </w:pPr>
    <w:r w:rsidRPr="00883692">
      <w:rPr>
        <w:rFonts w:ascii="Times New Roman" w:hAnsi="Times New Roman" w:cs="Times New Roman"/>
        <w:sz w:val="22"/>
        <w:szCs w:val="22"/>
      </w:rPr>
      <w:t xml:space="preserve">Av. João Paulo II – nº 1200 – Guilhermina Vieira </w:t>
    </w:r>
    <w:proofErr w:type="spellStart"/>
    <w:r w:rsidRPr="00883692">
      <w:rPr>
        <w:rFonts w:ascii="Times New Roman" w:hAnsi="Times New Roman" w:cs="Times New Roman"/>
        <w:sz w:val="22"/>
        <w:szCs w:val="22"/>
      </w:rPr>
      <w:t>Chaer</w:t>
    </w:r>
    <w:proofErr w:type="spellEnd"/>
    <w:r w:rsidRPr="00883692">
      <w:rPr>
        <w:rFonts w:ascii="Times New Roman" w:hAnsi="Times New Roman" w:cs="Times New Roman"/>
        <w:sz w:val="22"/>
        <w:szCs w:val="22"/>
      </w:rPr>
      <w:t xml:space="preserve"> – Araxá-MG, CEP</w:t>
    </w:r>
    <w:r>
      <w:rPr>
        <w:rFonts w:ascii="Times New Roman" w:hAnsi="Times New Roman" w:cs="Times New Roman"/>
        <w:sz w:val="22"/>
        <w:szCs w:val="22"/>
      </w:rPr>
      <w:t>:</w:t>
    </w:r>
    <w:r w:rsidRPr="00883692">
      <w:rPr>
        <w:rFonts w:ascii="Times New Roman" w:hAnsi="Times New Roman" w:cs="Times New Roman"/>
        <w:sz w:val="22"/>
        <w:szCs w:val="22"/>
      </w:rPr>
      <w:t xml:space="preserve"> </w:t>
    </w:r>
    <w:r w:rsidRPr="00883692">
      <w:rPr>
        <w:rStyle w:val="apple-style-span"/>
        <w:rFonts w:ascii="Times New Roman" w:hAnsi="Times New Roman" w:cs="Times New Roman"/>
        <w:sz w:val="22"/>
        <w:szCs w:val="22"/>
        <w:shd w:val="clear" w:color="auto" w:fill="FFFFFF"/>
      </w:rPr>
      <w:t>38184-122</w:t>
    </w:r>
  </w:p>
  <w:p w:rsidR="00401CEF" w:rsidRPr="00883692" w:rsidRDefault="00C214AE" w:rsidP="00B11ABE">
    <w:pPr>
      <w:pStyle w:val="Footer"/>
      <w:rPr>
        <w:rFonts w:ascii="Times New Roman" w:hAnsi="Times New Roman" w:cs="Times New Roman"/>
        <w:sz w:val="22"/>
        <w:szCs w:val="22"/>
      </w:rPr>
    </w:pPr>
    <w:r w:rsidRPr="00883692">
      <w:rPr>
        <w:rFonts w:ascii="Times New Roman" w:hAnsi="Times New Roman" w:cs="Times New Roman"/>
        <w:sz w:val="22"/>
        <w:szCs w:val="22"/>
      </w:rPr>
      <w:t>Fone/Fax: (34)3662-3040</w:t>
    </w:r>
  </w:p>
  <w:p w:rsidR="00B11ABE" w:rsidRPr="00883692" w:rsidRDefault="005117B7" w:rsidP="00B11ABE">
    <w:pPr>
      <w:pStyle w:val="Footer"/>
      <w:rPr>
        <w:rFonts w:ascii="Times New Roman" w:hAnsi="Times New Roman" w:cs="Times New Roman"/>
        <w:sz w:val="22"/>
        <w:szCs w:val="22"/>
      </w:rPr>
    </w:pPr>
    <w:hyperlink r:id="rId1" w:history="1">
      <w:r w:rsidR="00C214AE" w:rsidRPr="001C1D89">
        <w:rPr>
          <w:rStyle w:val="Hyperlink"/>
          <w:rFonts w:ascii="Times New Roman" w:hAnsi="Times New Roman" w:cs="Times New Roman"/>
          <w:sz w:val="22"/>
          <w:szCs w:val="22"/>
        </w:rPr>
        <w:t>www.araxa.mg.leg.br</w:t>
      </w:r>
    </w:hyperlink>
    <w:r w:rsidR="00C214AE">
      <w:rPr>
        <w:rFonts w:ascii="Times New Roman" w:hAnsi="Times New Roman" w:cs="Times New Roman"/>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400" w:rsidRDefault="000F5400" w:rsidP="00B3555A">
      <w:r>
        <w:separator/>
      </w:r>
    </w:p>
  </w:footnote>
  <w:footnote w:type="continuationSeparator" w:id="0">
    <w:p w:rsidR="000F5400" w:rsidRDefault="000F5400" w:rsidP="00B35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ABE" w:rsidRDefault="005117B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5" o:spid="_x0000_s1026" type="#_x0000_t75" style="position:absolute;margin-left:0;margin-top:0;width:452.25pt;height:388.2pt;z-index:-251655168;mso-position-horizontal:center;mso-position-horizontal-relative:margin;mso-position-vertical:center;mso-position-vertical-relative:margin" o:allowincell="f">
          <v:imagedata r:id="rId1" o:title="brasao_0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CEF" w:rsidRPr="00883692" w:rsidRDefault="005117B7" w:rsidP="00883692">
    <w:pPr>
      <w:pStyle w:val="Header"/>
      <w:rPr>
        <w:rFonts w:ascii="Times New Roman" w:hAnsi="Times New Roman" w:cs="Times New Roman"/>
        <w:b w:val="0"/>
        <w:sz w:val="30"/>
        <w:szCs w:val="30"/>
      </w:rPr>
    </w:pPr>
    <w:r w:rsidRPr="005117B7">
      <w:rPr>
        <w:rFonts w:ascii="Times New Roman" w:hAnsi="Times New Roman" w:cs="Times New Roman"/>
        <w:b w:val="0"/>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6" o:spid="_x0000_s1027" type="#_x0000_t75" style="position:absolute;left:0;text-align:left;margin-left:0;margin-top:0;width:452.25pt;height:388.2pt;z-index:-251654144;mso-position-horizontal:center;mso-position-horizontal-relative:margin;mso-position-vertical:center;mso-position-vertical-relative:margin" o:allowincell="f">
          <v:imagedata r:id="rId1" o:title="brasao_01" gain="19661f" blacklevel="22938f"/>
          <w10:wrap anchorx="margin" anchory="margin"/>
        </v:shape>
      </w:pict>
    </w:r>
    <w:r w:rsidR="00C214AE" w:rsidRPr="00883692">
      <w:rPr>
        <w:rFonts w:ascii="Times New Roman" w:hAnsi="Times New Roman" w:cs="Times New Roman"/>
        <w:b w:val="0"/>
        <w:sz w:val="30"/>
        <w:szCs w:val="30"/>
      </w:rPr>
      <w:t>CÂMARA MUNICIPAL DE ARAXÁ - ESTADO DE MINAS GERAIS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ABE" w:rsidRDefault="005117B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4" o:spid="_x0000_s1025" type="#_x0000_t75" style="position:absolute;margin-left:0;margin-top:0;width:452.25pt;height:388.2pt;z-index:-251656192;mso-position-horizontal:center;mso-position-horizontal-relative:margin;mso-position-vertical:center;mso-position-vertical-relative:margin" o:allowincell="f">
          <v:imagedata r:id="rId1" o:title="brasao_01"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D96550"/>
    <w:rsid w:val="00080581"/>
    <w:rsid w:val="000E0CDF"/>
    <w:rsid w:val="000F5400"/>
    <w:rsid w:val="00136308"/>
    <w:rsid w:val="002D08C2"/>
    <w:rsid w:val="005117B7"/>
    <w:rsid w:val="00524EDA"/>
    <w:rsid w:val="00574E15"/>
    <w:rsid w:val="005C62FE"/>
    <w:rsid w:val="006654C0"/>
    <w:rsid w:val="00732B67"/>
    <w:rsid w:val="007417B0"/>
    <w:rsid w:val="0074703B"/>
    <w:rsid w:val="00991F29"/>
    <w:rsid w:val="00AF453B"/>
    <w:rsid w:val="00B0554A"/>
    <w:rsid w:val="00B3555A"/>
    <w:rsid w:val="00C214AE"/>
    <w:rsid w:val="00D965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50"/>
    <w:pPr>
      <w:widowControl w:val="0"/>
      <w:suppressAutoHyphens/>
      <w:autoSpaceDN w:val="0"/>
      <w:spacing w:after="0" w:line="240" w:lineRule="auto"/>
      <w:textAlignment w:val="baseline"/>
    </w:pPr>
    <w:rPr>
      <w:rFonts w:ascii="Times" w:eastAsia="DejaVu Sans" w:hAnsi="Times" w:cs="DejaVu Sans"/>
      <w:kern w:val="3"/>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er">
    <w:name w:val="Header"/>
    <w:basedOn w:val="Normal"/>
    <w:rsid w:val="00D96550"/>
    <w:pPr>
      <w:suppressLineNumbers/>
      <w:tabs>
        <w:tab w:val="center" w:pos="4818"/>
        <w:tab w:val="right" w:pos="9637"/>
      </w:tabs>
      <w:jc w:val="center"/>
    </w:pPr>
    <w:rPr>
      <w:rFonts w:ascii="Arial" w:hAnsi="Arial"/>
      <w:b/>
      <w:bCs/>
      <w:sz w:val="20"/>
      <w:szCs w:val="20"/>
    </w:rPr>
  </w:style>
  <w:style w:type="paragraph" w:customStyle="1" w:styleId="Footer">
    <w:name w:val="Footer"/>
    <w:basedOn w:val="Normal"/>
    <w:rsid w:val="00D96550"/>
    <w:pPr>
      <w:suppressLineNumbers/>
      <w:tabs>
        <w:tab w:val="center" w:pos="4818"/>
        <w:tab w:val="right" w:pos="9637"/>
      </w:tabs>
      <w:jc w:val="center"/>
    </w:pPr>
    <w:rPr>
      <w:rFonts w:ascii="Arial" w:hAnsi="Arial"/>
      <w:b/>
      <w:bCs/>
      <w:sz w:val="20"/>
      <w:szCs w:val="20"/>
    </w:rPr>
  </w:style>
  <w:style w:type="paragraph" w:customStyle="1" w:styleId="HorizontalLine">
    <w:name w:val="Horizontal Line"/>
    <w:basedOn w:val="Normal"/>
    <w:next w:val="Normal"/>
    <w:rsid w:val="00D96550"/>
    <w:pPr>
      <w:suppressLineNumbers/>
      <w:pBdr>
        <w:bottom w:val="double" w:sz="2" w:space="0" w:color="808080"/>
      </w:pBdr>
      <w:spacing w:after="283"/>
      <w:jc w:val="center"/>
    </w:pPr>
    <w:rPr>
      <w:rFonts w:ascii="Arial" w:hAnsi="Arial"/>
      <w:b/>
      <w:bCs/>
      <w:sz w:val="12"/>
      <w:szCs w:val="12"/>
    </w:rPr>
  </w:style>
  <w:style w:type="paragraph" w:styleId="Cabealho">
    <w:name w:val="header"/>
    <w:basedOn w:val="Normal"/>
    <w:link w:val="CabealhoChar"/>
    <w:uiPriority w:val="99"/>
    <w:semiHidden/>
    <w:unhideWhenUsed/>
    <w:rsid w:val="00D96550"/>
    <w:pPr>
      <w:tabs>
        <w:tab w:val="center" w:pos="4252"/>
        <w:tab w:val="right" w:pos="8504"/>
      </w:tabs>
    </w:pPr>
  </w:style>
  <w:style w:type="character" w:customStyle="1" w:styleId="CabealhoChar">
    <w:name w:val="Cabeçalho Char"/>
    <w:basedOn w:val="Fontepargpadro"/>
    <w:link w:val="Cabealho"/>
    <w:uiPriority w:val="99"/>
    <w:semiHidden/>
    <w:rsid w:val="00D96550"/>
    <w:rPr>
      <w:rFonts w:ascii="Times" w:eastAsia="DejaVu Sans" w:hAnsi="Times" w:cs="DejaVu Sans"/>
      <w:kern w:val="3"/>
      <w:sz w:val="24"/>
      <w:szCs w:val="24"/>
      <w:lang w:eastAsia="pt-BR"/>
    </w:rPr>
  </w:style>
  <w:style w:type="character" w:customStyle="1" w:styleId="apple-style-span">
    <w:name w:val="apple-style-span"/>
    <w:basedOn w:val="Fontepargpadro"/>
    <w:rsid w:val="00D96550"/>
  </w:style>
  <w:style w:type="character" w:styleId="Hyperlink">
    <w:name w:val="Hyperlink"/>
    <w:basedOn w:val="Fontepargpadro"/>
    <w:uiPriority w:val="99"/>
    <w:unhideWhenUsed/>
    <w:rsid w:val="00D96550"/>
    <w:rPr>
      <w:color w:val="0000FF"/>
      <w:u w:val="single"/>
    </w:rPr>
  </w:style>
  <w:style w:type="paragraph" w:styleId="SemEspaamento">
    <w:name w:val="No Spacing"/>
    <w:uiPriority w:val="1"/>
    <w:qFormat/>
    <w:rsid w:val="00D9655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5536143">
      <w:bodyDiv w:val="1"/>
      <w:marLeft w:val="0"/>
      <w:marRight w:val="0"/>
      <w:marTop w:val="0"/>
      <w:marBottom w:val="0"/>
      <w:divBdr>
        <w:top w:val="none" w:sz="0" w:space="0" w:color="auto"/>
        <w:left w:val="none" w:sz="0" w:space="0" w:color="auto"/>
        <w:bottom w:val="none" w:sz="0" w:space="0" w:color="auto"/>
        <w:right w:val="none" w:sz="0" w:space="0" w:color="auto"/>
      </w:divBdr>
    </w:div>
    <w:div w:id="117114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araxa.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7421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cintia</cp:lastModifiedBy>
  <cp:revision>2</cp:revision>
  <cp:lastPrinted>2021-11-30T17:13:00Z</cp:lastPrinted>
  <dcterms:created xsi:type="dcterms:W3CDTF">2021-12-10T19:40:00Z</dcterms:created>
  <dcterms:modified xsi:type="dcterms:W3CDTF">2021-12-10T19:40:00Z</dcterms:modified>
</cp:coreProperties>
</file>