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0D177" w14:textId="77777777" w:rsidR="002C18B7" w:rsidRDefault="002C18B7">
      <w:pPr>
        <w:pStyle w:val="Corpodetexto"/>
      </w:pPr>
    </w:p>
    <w:p w14:paraId="7490A967" w14:textId="77777777" w:rsidR="002C18B7" w:rsidRDefault="002C18B7">
      <w:pPr>
        <w:pStyle w:val="Corpodetexto"/>
        <w:spacing w:before="73"/>
      </w:pPr>
    </w:p>
    <w:p w14:paraId="6CBFD930" w14:textId="506D9178" w:rsidR="002C18B7" w:rsidRDefault="00000000">
      <w:pPr>
        <w:tabs>
          <w:tab w:val="left" w:pos="2733"/>
        </w:tabs>
        <w:ind w:right="45"/>
        <w:jc w:val="center"/>
        <w:rPr>
          <w:b/>
          <w:sz w:val="24"/>
        </w:rPr>
      </w:pPr>
      <w:r>
        <w:rPr>
          <w:b/>
          <w:sz w:val="24"/>
        </w:rPr>
        <w:t xml:space="preserve">PROJETO DE LEI Nº </w:t>
      </w:r>
      <w:r w:rsidR="007548D5">
        <w:rPr>
          <w:b/>
          <w:sz w:val="24"/>
        </w:rPr>
        <w:t>240</w:t>
      </w:r>
      <w:r>
        <w:rPr>
          <w:b/>
          <w:spacing w:val="-2"/>
          <w:sz w:val="24"/>
        </w:rPr>
        <w:t>/2025</w:t>
      </w:r>
    </w:p>
    <w:p w14:paraId="16FC018C" w14:textId="77777777" w:rsidR="002C18B7" w:rsidRDefault="002C18B7">
      <w:pPr>
        <w:pStyle w:val="Corpodetexto"/>
        <w:rPr>
          <w:b/>
        </w:rPr>
      </w:pPr>
    </w:p>
    <w:p w14:paraId="5CD41C1E" w14:textId="77777777" w:rsidR="002C18B7" w:rsidRDefault="002C18B7">
      <w:pPr>
        <w:pStyle w:val="Corpodetexto"/>
        <w:spacing w:before="4"/>
        <w:rPr>
          <w:b/>
        </w:rPr>
      </w:pPr>
    </w:p>
    <w:p w14:paraId="504796F2" w14:textId="77777777" w:rsidR="002C18B7" w:rsidRDefault="00000000">
      <w:pPr>
        <w:ind w:left="3405" w:right="47"/>
        <w:jc w:val="both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21792" behindDoc="1" locked="0" layoutInCell="1" allowOverlap="1" wp14:anchorId="4EB70331" wp14:editId="5E02492A">
            <wp:simplePos x="0" y="0"/>
            <wp:positionH relativeFrom="page">
              <wp:posOffset>982980</wp:posOffset>
            </wp:positionH>
            <wp:positionV relativeFrom="paragraph">
              <wp:posOffset>953277</wp:posOffset>
            </wp:positionV>
            <wp:extent cx="5743575" cy="493014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Dispõe sobre a isenção do Imposto Predial e Territorial Urbano (IPTU) para imóveis localizados em vias públicas desprovidas de serviços urbanos essenciais no Município de Araxá e dá outras </w:t>
      </w:r>
      <w:r>
        <w:rPr>
          <w:b/>
          <w:spacing w:val="-2"/>
          <w:sz w:val="24"/>
        </w:rPr>
        <w:t>providências</w:t>
      </w:r>
    </w:p>
    <w:p w14:paraId="657698E7" w14:textId="77777777" w:rsidR="002C18B7" w:rsidRDefault="002C18B7">
      <w:pPr>
        <w:pStyle w:val="Corpodetexto"/>
        <w:rPr>
          <w:b/>
        </w:rPr>
      </w:pPr>
    </w:p>
    <w:p w14:paraId="11D4D1B4" w14:textId="77777777" w:rsidR="002C18B7" w:rsidRDefault="002C18B7">
      <w:pPr>
        <w:pStyle w:val="Corpodetexto"/>
        <w:rPr>
          <w:b/>
        </w:rPr>
      </w:pPr>
    </w:p>
    <w:p w14:paraId="2C7D9C91" w14:textId="77777777" w:rsidR="002C18B7" w:rsidRDefault="00000000">
      <w:pPr>
        <w:pStyle w:val="Corpodetexto"/>
        <w:ind w:left="2" w:right="44" w:firstLine="1702"/>
        <w:jc w:val="both"/>
      </w:pPr>
      <w:r>
        <w:t>A CÂMARA MUNICIPAL DE ARAXÁ</w:t>
      </w:r>
      <w:r>
        <w:rPr>
          <w:b/>
        </w:rPr>
        <w:t xml:space="preserve">, </w:t>
      </w:r>
      <w:r>
        <w:t>por iniciativa do Vereador Professor Jales</w:t>
      </w:r>
      <w:r>
        <w:rPr>
          <w:spacing w:val="-3"/>
        </w:rPr>
        <w:t xml:space="preserve"> </w:t>
      </w:r>
      <w:r>
        <w:t>André dos Santos, com a Graça de Deus aprova e eu, Prefeito, sanciono e promulgo a seguinte Lei:</w:t>
      </w:r>
    </w:p>
    <w:p w14:paraId="69EC26AA" w14:textId="77777777" w:rsidR="002C18B7" w:rsidRDefault="002C18B7">
      <w:pPr>
        <w:pStyle w:val="Corpodetexto"/>
      </w:pPr>
    </w:p>
    <w:p w14:paraId="2394263F" w14:textId="77777777" w:rsidR="002C18B7" w:rsidRDefault="002C18B7">
      <w:pPr>
        <w:pStyle w:val="Corpodetexto"/>
      </w:pPr>
    </w:p>
    <w:p w14:paraId="058BF43D" w14:textId="77777777" w:rsidR="002C18B7" w:rsidRDefault="00000000">
      <w:pPr>
        <w:pStyle w:val="Corpodetexto"/>
        <w:spacing w:before="1"/>
        <w:ind w:left="2" w:right="49" w:firstLine="1702"/>
        <w:jc w:val="both"/>
      </w:pPr>
      <w:r>
        <w:t>Art. 1º - Fica o Poder Executivo Municipal autorizado a conceder</w:t>
      </w:r>
      <w:r>
        <w:rPr>
          <w:spacing w:val="40"/>
        </w:rPr>
        <w:t xml:space="preserve"> </w:t>
      </w:r>
      <w:r>
        <w:t>isenção total do Imposto Predial e Territorial Urbano (IPTU) aos imóveis localizados em vias públicas do Município de</w:t>
      </w:r>
      <w:r>
        <w:rPr>
          <w:spacing w:val="-3"/>
        </w:rPr>
        <w:t xml:space="preserve"> </w:t>
      </w:r>
      <w:r>
        <w:t xml:space="preserve">Araxá que não disponham, dos seguintes serviços públicos </w:t>
      </w:r>
      <w:r>
        <w:rPr>
          <w:spacing w:val="-2"/>
        </w:rPr>
        <w:t>essenciais:</w:t>
      </w:r>
    </w:p>
    <w:p w14:paraId="65258839" w14:textId="77777777" w:rsidR="002C18B7" w:rsidRDefault="002C18B7">
      <w:pPr>
        <w:pStyle w:val="Corpodetexto"/>
        <w:spacing w:before="2"/>
        <w:rPr>
          <w:sz w:val="16"/>
        </w:rPr>
      </w:pPr>
    </w:p>
    <w:p w14:paraId="6BE7D828" w14:textId="77777777" w:rsidR="002C18B7" w:rsidRDefault="002C18B7">
      <w:pPr>
        <w:pStyle w:val="Corpodetexto"/>
        <w:rPr>
          <w:sz w:val="16"/>
        </w:rPr>
        <w:sectPr w:rsidR="002C18B7">
          <w:headerReference w:type="default" r:id="rId8"/>
          <w:footerReference w:type="default" r:id="rId9"/>
          <w:type w:val="continuous"/>
          <w:pgSz w:w="11910" w:h="16840"/>
          <w:pgMar w:top="1060" w:right="1417" w:bottom="1680" w:left="1700" w:header="733" w:footer="1497" w:gutter="0"/>
          <w:pgNumType w:start="1"/>
          <w:cols w:space="720"/>
        </w:sectPr>
      </w:pPr>
    </w:p>
    <w:p w14:paraId="385C747D" w14:textId="77777777" w:rsidR="002C18B7" w:rsidRDefault="002C18B7">
      <w:pPr>
        <w:pStyle w:val="Corpodetexto"/>
      </w:pPr>
    </w:p>
    <w:p w14:paraId="4DED9FEC" w14:textId="77777777" w:rsidR="002C18B7" w:rsidRDefault="002C18B7">
      <w:pPr>
        <w:pStyle w:val="Corpodetexto"/>
      </w:pPr>
    </w:p>
    <w:p w14:paraId="301D09A3" w14:textId="77777777" w:rsidR="002C18B7" w:rsidRDefault="002C18B7">
      <w:pPr>
        <w:pStyle w:val="Corpodetexto"/>
        <w:spacing w:before="90"/>
      </w:pPr>
    </w:p>
    <w:p w14:paraId="65077114" w14:textId="77777777" w:rsidR="002C18B7" w:rsidRDefault="00000000">
      <w:pPr>
        <w:pStyle w:val="Corpodetexto"/>
        <w:ind w:left="2"/>
      </w:pPr>
      <w:r>
        <w:rPr>
          <w:spacing w:val="-2"/>
        </w:rPr>
        <w:t>imóvel;</w:t>
      </w:r>
    </w:p>
    <w:p w14:paraId="6989F550" w14:textId="77777777" w:rsidR="002C18B7" w:rsidRDefault="00000000">
      <w:pPr>
        <w:pStyle w:val="PargrafodaLista"/>
        <w:numPr>
          <w:ilvl w:val="0"/>
          <w:numId w:val="1"/>
        </w:numPr>
        <w:tabs>
          <w:tab w:val="left" w:pos="141"/>
        </w:tabs>
        <w:spacing w:before="90"/>
        <w:ind w:left="141" w:hanging="139"/>
        <w:rPr>
          <w:sz w:val="24"/>
        </w:rPr>
      </w:pPr>
      <w:r>
        <w:br w:type="column"/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Coleta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lixo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limpeza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urbana;</w:t>
      </w:r>
    </w:p>
    <w:p w14:paraId="6C94F13A" w14:textId="77777777" w:rsidR="002C18B7" w:rsidRDefault="00000000">
      <w:pPr>
        <w:pStyle w:val="PargrafodaLista"/>
        <w:numPr>
          <w:ilvl w:val="0"/>
          <w:numId w:val="1"/>
        </w:numPr>
        <w:tabs>
          <w:tab w:val="left" w:pos="220"/>
        </w:tabs>
        <w:ind w:left="220" w:hanging="218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Iluminação</w:t>
      </w:r>
      <w:r>
        <w:rPr>
          <w:spacing w:val="-1"/>
          <w:sz w:val="24"/>
        </w:rPr>
        <w:t xml:space="preserve"> </w:t>
      </w:r>
      <w:r>
        <w:rPr>
          <w:sz w:val="24"/>
        </w:rPr>
        <w:t>pública</w:t>
      </w:r>
      <w:r>
        <w:rPr>
          <w:spacing w:val="-2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pleno </w:t>
      </w:r>
      <w:r>
        <w:rPr>
          <w:spacing w:val="-2"/>
          <w:sz w:val="24"/>
        </w:rPr>
        <w:t>funcionamento;</w:t>
      </w:r>
    </w:p>
    <w:p w14:paraId="28F71EE1" w14:textId="77777777" w:rsidR="002C18B7" w:rsidRDefault="00000000">
      <w:pPr>
        <w:pStyle w:val="PargrafodaLista"/>
        <w:numPr>
          <w:ilvl w:val="0"/>
          <w:numId w:val="1"/>
        </w:numPr>
        <w:tabs>
          <w:tab w:val="left" w:pos="323"/>
        </w:tabs>
        <w:ind w:left="323" w:hanging="321"/>
        <w:rPr>
          <w:sz w:val="24"/>
        </w:rPr>
      </w:pPr>
      <w:r>
        <w:rPr>
          <w:sz w:val="24"/>
        </w:rPr>
        <w:t>–</w:t>
      </w:r>
      <w:r>
        <w:rPr>
          <w:spacing w:val="19"/>
          <w:sz w:val="24"/>
        </w:rPr>
        <w:t xml:space="preserve"> </w:t>
      </w:r>
      <w:r>
        <w:rPr>
          <w:sz w:val="24"/>
        </w:rPr>
        <w:t>Pavimentação</w:t>
      </w:r>
      <w:r>
        <w:rPr>
          <w:spacing w:val="20"/>
          <w:sz w:val="24"/>
        </w:rPr>
        <w:t xml:space="preserve"> </w:t>
      </w:r>
      <w:r>
        <w:rPr>
          <w:sz w:val="24"/>
        </w:rPr>
        <w:t>(calçamento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19"/>
          <w:sz w:val="24"/>
        </w:rPr>
        <w:t xml:space="preserve"> </w:t>
      </w:r>
      <w:r>
        <w:rPr>
          <w:sz w:val="24"/>
        </w:rPr>
        <w:t>asfalto)</w:t>
      </w:r>
      <w:r>
        <w:rPr>
          <w:spacing w:val="19"/>
          <w:sz w:val="24"/>
        </w:rPr>
        <w:t xml:space="preserve"> </w:t>
      </w:r>
      <w:r>
        <w:rPr>
          <w:sz w:val="24"/>
        </w:rPr>
        <w:t>da</w:t>
      </w:r>
      <w:r>
        <w:rPr>
          <w:spacing w:val="19"/>
          <w:sz w:val="24"/>
        </w:rPr>
        <w:t xml:space="preserve"> </w:t>
      </w:r>
      <w:r>
        <w:rPr>
          <w:sz w:val="24"/>
        </w:rPr>
        <w:t>via</w:t>
      </w:r>
      <w:r>
        <w:rPr>
          <w:spacing w:val="19"/>
          <w:sz w:val="24"/>
        </w:rPr>
        <w:t xml:space="preserve"> </w:t>
      </w:r>
      <w:r>
        <w:rPr>
          <w:sz w:val="24"/>
        </w:rPr>
        <w:t>pública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acesso</w:t>
      </w:r>
      <w:r>
        <w:rPr>
          <w:spacing w:val="19"/>
          <w:sz w:val="24"/>
        </w:rPr>
        <w:t xml:space="preserve"> </w:t>
      </w:r>
      <w:r>
        <w:rPr>
          <w:spacing w:val="-5"/>
          <w:sz w:val="24"/>
        </w:rPr>
        <w:t>ao</w:t>
      </w:r>
    </w:p>
    <w:p w14:paraId="2B686B4A" w14:textId="77777777" w:rsidR="002C18B7" w:rsidRDefault="002C18B7">
      <w:pPr>
        <w:pStyle w:val="Corpodetexto"/>
      </w:pPr>
    </w:p>
    <w:p w14:paraId="5FE8CFA5" w14:textId="77777777" w:rsidR="002C18B7" w:rsidRDefault="00000000">
      <w:pPr>
        <w:pStyle w:val="PargrafodaLista"/>
        <w:numPr>
          <w:ilvl w:val="0"/>
          <w:numId w:val="1"/>
        </w:numPr>
        <w:tabs>
          <w:tab w:val="left" w:pos="332"/>
        </w:tabs>
        <w:ind w:left="332" w:hanging="330"/>
        <w:rPr>
          <w:sz w:val="24"/>
        </w:rPr>
      </w:pP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Rede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20"/>
          <w:sz w:val="24"/>
        </w:rPr>
        <w:t xml:space="preserve"> </w:t>
      </w:r>
      <w:r>
        <w:rPr>
          <w:sz w:val="24"/>
        </w:rPr>
        <w:t>esgotamento</w:t>
      </w:r>
      <w:r>
        <w:rPr>
          <w:spacing w:val="20"/>
          <w:sz w:val="24"/>
        </w:rPr>
        <w:t xml:space="preserve"> </w:t>
      </w:r>
      <w:r>
        <w:rPr>
          <w:sz w:val="24"/>
        </w:rPr>
        <w:t>sanitário</w:t>
      </w:r>
      <w:r>
        <w:rPr>
          <w:spacing w:val="20"/>
          <w:sz w:val="24"/>
        </w:rPr>
        <w:t xml:space="preserve"> </w:t>
      </w:r>
      <w:r>
        <w:rPr>
          <w:sz w:val="24"/>
        </w:rPr>
        <w:t>conectada</w:t>
      </w:r>
      <w:r>
        <w:rPr>
          <w:spacing w:val="19"/>
          <w:sz w:val="24"/>
        </w:rPr>
        <w:t xml:space="preserve"> </w:t>
      </w:r>
      <w:r>
        <w:rPr>
          <w:sz w:val="24"/>
        </w:rPr>
        <w:t>ao</w:t>
      </w:r>
      <w:r>
        <w:rPr>
          <w:spacing w:val="20"/>
          <w:sz w:val="24"/>
        </w:rPr>
        <w:t xml:space="preserve"> </w:t>
      </w:r>
      <w:r>
        <w:rPr>
          <w:sz w:val="24"/>
        </w:rPr>
        <w:t>imóvel</w:t>
      </w:r>
      <w:r>
        <w:rPr>
          <w:spacing w:val="19"/>
          <w:sz w:val="24"/>
        </w:rPr>
        <w:t xml:space="preserve"> </w:t>
      </w:r>
      <w:r>
        <w:rPr>
          <w:sz w:val="24"/>
        </w:rPr>
        <w:t>ou</w:t>
      </w:r>
      <w:r>
        <w:rPr>
          <w:spacing w:val="22"/>
          <w:sz w:val="24"/>
        </w:rPr>
        <w:t xml:space="preserve"> </w:t>
      </w:r>
      <w:r>
        <w:rPr>
          <w:sz w:val="24"/>
        </w:rPr>
        <w:t>serviço</w:t>
      </w:r>
      <w:r>
        <w:rPr>
          <w:spacing w:val="21"/>
          <w:sz w:val="24"/>
        </w:rPr>
        <w:t xml:space="preserve"> </w:t>
      </w:r>
      <w:r>
        <w:rPr>
          <w:spacing w:val="-5"/>
          <w:sz w:val="24"/>
        </w:rPr>
        <w:t>de</w:t>
      </w:r>
    </w:p>
    <w:p w14:paraId="0172DE03" w14:textId="77777777" w:rsidR="002C18B7" w:rsidRDefault="002C18B7">
      <w:pPr>
        <w:pStyle w:val="PargrafodaLista"/>
        <w:rPr>
          <w:sz w:val="24"/>
        </w:rPr>
        <w:sectPr w:rsidR="002C18B7">
          <w:type w:val="continuous"/>
          <w:pgSz w:w="11910" w:h="16840"/>
          <w:pgMar w:top="1060" w:right="1417" w:bottom="1680" w:left="1700" w:header="733" w:footer="1497" w:gutter="0"/>
          <w:cols w:num="2" w:space="720" w:equalWidth="0">
            <w:col w:w="736" w:space="967"/>
            <w:col w:w="7090"/>
          </w:cols>
        </w:sectPr>
      </w:pPr>
    </w:p>
    <w:p w14:paraId="2EBBD03D" w14:textId="77777777" w:rsidR="002C18B7" w:rsidRDefault="00000000">
      <w:pPr>
        <w:pStyle w:val="Corpodetexto"/>
        <w:ind w:left="2"/>
      </w:pPr>
      <w:r>
        <w:t>saneamento</w:t>
      </w:r>
      <w:r>
        <w:rPr>
          <w:spacing w:val="-3"/>
        </w:rPr>
        <w:t xml:space="preserve"> </w:t>
      </w:r>
      <w:r>
        <w:t>básico</w:t>
      </w:r>
      <w:r>
        <w:rPr>
          <w:spacing w:val="-2"/>
        </w:rPr>
        <w:t xml:space="preserve"> adequado.</w:t>
      </w:r>
    </w:p>
    <w:p w14:paraId="76308202" w14:textId="77777777" w:rsidR="002C18B7" w:rsidRDefault="002C18B7">
      <w:pPr>
        <w:pStyle w:val="Corpodetexto"/>
      </w:pPr>
    </w:p>
    <w:p w14:paraId="3DF887DE" w14:textId="77777777" w:rsidR="002C18B7" w:rsidRDefault="002C18B7">
      <w:pPr>
        <w:pStyle w:val="Corpodetexto"/>
      </w:pPr>
    </w:p>
    <w:p w14:paraId="0281188F" w14:textId="77777777" w:rsidR="002C18B7" w:rsidRDefault="00000000">
      <w:pPr>
        <w:pStyle w:val="Corpodetexto"/>
        <w:ind w:left="2" w:right="48" w:firstLine="1702"/>
        <w:jc w:val="both"/>
      </w:pPr>
      <w:r>
        <w:t>Art. 2º - A isenção prevista nesta Lei será concedida de ofício ou mediante requerimento do contribuinte, devidamente instruído com documentação comprobatória e vistoria técnica da Prefeitura Municipal de</w:t>
      </w:r>
      <w:r>
        <w:rPr>
          <w:spacing w:val="-1"/>
        </w:rPr>
        <w:t xml:space="preserve"> </w:t>
      </w:r>
      <w:r>
        <w:t>Araxá.</w:t>
      </w:r>
    </w:p>
    <w:p w14:paraId="2D97CF50" w14:textId="77777777" w:rsidR="002C18B7" w:rsidRDefault="002C18B7">
      <w:pPr>
        <w:pStyle w:val="Corpodetexto"/>
      </w:pPr>
    </w:p>
    <w:p w14:paraId="33F8EDBB" w14:textId="77777777" w:rsidR="002C18B7" w:rsidRDefault="00000000">
      <w:pPr>
        <w:pStyle w:val="Corpodetexto"/>
        <w:spacing w:before="1"/>
        <w:ind w:left="2" w:right="47" w:firstLine="1702"/>
        <w:jc w:val="both"/>
      </w:pPr>
      <w:r>
        <w:t>§1º – A vistoria deverá ser realizada por equipe técnica da Secretaria Municipal de Serviços Urbanos ou outro órgão competente, no prazo máximo de 60 (sessenta) dias após o protocolo do requerimento.</w:t>
      </w:r>
    </w:p>
    <w:p w14:paraId="6FC4FC37" w14:textId="77777777" w:rsidR="002C18B7" w:rsidRDefault="00000000">
      <w:pPr>
        <w:pStyle w:val="Corpodetexto"/>
        <w:ind w:left="2" w:right="45" w:firstLine="1702"/>
        <w:jc w:val="both"/>
      </w:pPr>
      <w:r>
        <w:t>§2º – Constatada a ausência dos serviços descritos no art. 1º, a isenção será concedida para o exercício fiscal correspondente.</w:t>
      </w:r>
    </w:p>
    <w:p w14:paraId="730CCFA6" w14:textId="77777777" w:rsidR="002C18B7" w:rsidRDefault="00000000">
      <w:pPr>
        <w:pStyle w:val="Corpodetexto"/>
        <w:ind w:left="2" w:right="45" w:firstLine="1702"/>
        <w:jc w:val="both"/>
      </w:pPr>
      <w:r>
        <w:t>§3º – A isenção será renovada automaticamente enquanto persistir a omissão dos serviços públicos essenciais, mediante nova vistoria anual.</w:t>
      </w:r>
    </w:p>
    <w:p w14:paraId="4D87154E" w14:textId="77777777" w:rsidR="002C18B7" w:rsidRDefault="002C18B7">
      <w:pPr>
        <w:pStyle w:val="Corpodetexto"/>
      </w:pPr>
    </w:p>
    <w:p w14:paraId="524930DE" w14:textId="77777777" w:rsidR="002C18B7" w:rsidRDefault="00000000">
      <w:pPr>
        <w:pStyle w:val="Corpodetexto"/>
        <w:ind w:left="2" w:right="47" w:firstLine="1726"/>
        <w:jc w:val="both"/>
      </w:pPr>
      <w:r>
        <w:t>Art. 3º - A concessão da isenção prevista nesta Lei não exime o Poder Executivo da obrigação de promover, com a máxima urgência, a implantação ou regularização dos serviços públicos essenciais nas vias beneficiadas, garantindo aos cidadãos o direito à infraestrutura urbana adequada, conforme dispõe o art. 182 da Constituição Federal e o Plano Diretor Municipal de</w:t>
      </w:r>
      <w:r>
        <w:rPr>
          <w:spacing w:val="-1"/>
        </w:rPr>
        <w:t xml:space="preserve"> </w:t>
      </w:r>
      <w:r>
        <w:t>Araxá.</w:t>
      </w:r>
    </w:p>
    <w:p w14:paraId="5CE4A530" w14:textId="77777777" w:rsidR="002C18B7" w:rsidRDefault="00000000">
      <w:pPr>
        <w:pStyle w:val="Corpodetexto"/>
        <w:spacing w:before="274"/>
        <w:ind w:left="1704"/>
      </w:pPr>
      <w:r>
        <w:t>Art.</w:t>
      </w:r>
      <w:r>
        <w:rPr>
          <w:spacing w:val="36"/>
        </w:rPr>
        <w:t xml:space="preserve"> </w:t>
      </w:r>
      <w:r>
        <w:t>4º</w:t>
      </w:r>
      <w:r>
        <w:rPr>
          <w:spacing w:val="38"/>
        </w:rPr>
        <w:t xml:space="preserve"> </w:t>
      </w:r>
      <w:r>
        <w:rPr>
          <w:b/>
        </w:rPr>
        <w:t>-</w:t>
      </w:r>
      <w:r>
        <w:rPr>
          <w:b/>
          <w:spacing w:val="39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despesas</w:t>
      </w:r>
      <w:r>
        <w:rPr>
          <w:spacing w:val="38"/>
        </w:rPr>
        <w:t xml:space="preserve"> </w:t>
      </w:r>
      <w:r>
        <w:t>decorrentes</w:t>
      </w:r>
      <w:r>
        <w:rPr>
          <w:spacing w:val="38"/>
        </w:rPr>
        <w:t xml:space="preserve"> </w:t>
      </w:r>
      <w:r>
        <w:t>da</w:t>
      </w:r>
      <w:r>
        <w:rPr>
          <w:spacing w:val="38"/>
        </w:rPr>
        <w:t xml:space="preserve"> </w:t>
      </w:r>
      <w:r>
        <w:t>aplicação</w:t>
      </w:r>
      <w:r>
        <w:rPr>
          <w:spacing w:val="38"/>
        </w:rPr>
        <w:t xml:space="preserve"> </w:t>
      </w:r>
      <w:r>
        <w:t>desta</w:t>
      </w:r>
      <w:r>
        <w:rPr>
          <w:spacing w:val="38"/>
        </w:rPr>
        <w:t xml:space="preserve"> </w:t>
      </w:r>
      <w:r>
        <w:t>Lei</w:t>
      </w:r>
      <w:r>
        <w:rPr>
          <w:spacing w:val="38"/>
        </w:rPr>
        <w:t xml:space="preserve"> </w:t>
      </w:r>
      <w:r>
        <w:t>correrão</w:t>
      </w:r>
      <w:r>
        <w:rPr>
          <w:spacing w:val="39"/>
        </w:rPr>
        <w:t xml:space="preserve"> </w:t>
      </w:r>
      <w:r>
        <w:rPr>
          <w:spacing w:val="-5"/>
        </w:rPr>
        <w:t>por</w:t>
      </w:r>
    </w:p>
    <w:p w14:paraId="4AA21BE5" w14:textId="77777777" w:rsidR="002C18B7" w:rsidRDefault="002C18B7">
      <w:pPr>
        <w:pStyle w:val="Corpodetexto"/>
        <w:sectPr w:rsidR="002C18B7">
          <w:type w:val="continuous"/>
          <w:pgSz w:w="11910" w:h="16840"/>
          <w:pgMar w:top="1060" w:right="1417" w:bottom="1680" w:left="1700" w:header="733" w:footer="1497" w:gutter="0"/>
          <w:cols w:space="720"/>
        </w:sectPr>
      </w:pPr>
    </w:p>
    <w:p w14:paraId="48150AE4" w14:textId="77777777" w:rsidR="002C18B7" w:rsidRDefault="00000000">
      <w:pPr>
        <w:pStyle w:val="Corpodetexto"/>
        <w:spacing w:before="69"/>
        <w:ind w:left="2" w:right="48"/>
        <w:jc w:val="both"/>
      </w:pPr>
      <w:r>
        <w:lastRenderedPageBreak/>
        <w:t xml:space="preserve">conta das dotações orçamentárias próprias, observados os limites da Lei Complementar nº 101/2000 (Lei de Responsabilidade Fiscal) e demais normas aplicáveis à gestão fiscal </w:t>
      </w:r>
      <w:r>
        <w:rPr>
          <w:spacing w:val="-2"/>
        </w:rPr>
        <w:t>responsável.</w:t>
      </w:r>
    </w:p>
    <w:p w14:paraId="6A4F997A" w14:textId="77777777" w:rsidR="002C18B7" w:rsidRDefault="002C18B7">
      <w:pPr>
        <w:pStyle w:val="Corpodetexto"/>
      </w:pPr>
    </w:p>
    <w:p w14:paraId="0ABFD68F" w14:textId="77777777" w:rsidR="002C18B7" w:rsidRDefault="002C18B7">
      <w:pPr>
        <w:pStyle w:val="Corpodetexto"/>
      </w:pPr>
    </w:p>
    <w:p w14:paraId="7C96DB60" w14:textId="77777777" w:rsidR="002C18B7" w:rsidRDefault="00000000">
      <w:pPr>
        <w:pStyle w:val="Corpodetexto"/>
        <w:ind w:left="1418"/>
      </w:pPr>
      <w:r>
        <w:t>Plenário</w:t>
      </w:r>
      <w:r>
        <w:rPr>
          <w:spacing w:val="-9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Guilherme</w:t>
      </w:r>
      <w:r>
        <w:rPr>
          <w:spacing w:val="-4"/>
        </w:rPr>
        <w:t xml:space="preserve"> </w:t>
      </w:r>
      <w:r>
        <w:t>Gotelip</w:t>
      </w:r>
      <w:r>
        <w:rPr>
          <w:spacing w:val="-4"/>
        </w:rPr>
        <w:t xml:space="preserve"> </w:t>
      </w:r>
      <w:r>
        <w:t>Neto</w:t>
      </w:r>
      <w:r>
        <w:rPr>
          <w:spacing w:val="-3"/>
        </w:rPr>
        <w:t xml:space="preserve"> </w:t>
      </w:r>
      <w:r>
        <w:t>em,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426AF141" w14:textId="77777777" w:rsidR="002C18B7" w:rsidRDefault="002C18B7">
      <w:pPr>
        <w:pStyle w:val="Corpodetexto"/>
      </w:pPr>
    </w:p>
    <w:p w14:paraId="1BB61C5D" w14:textId="77777777" w:rsidR="002C18B7" w:rsidRDefault="002C18B7">
      <w:pPr>
        <w:pStyle w:val="Corpodetexto"/>
      </w:pPr>
    </w:p>
    <w:p w14:paraId="346AD5C8" w14:textId="77777777" w:rsidR="002C18B7" w:rsidRDefault="002C18B7">
      <w:pPr>
        <w:pStyle w:val="Corpodetexto"/>
      </w:pPr>
    </w:p>
    <w:p w14:paraId="019823C4" w14:textId="77777777" w:rsidR="002C18B7" w:rsidRDefault="002C18B7">
      <w:pPr>
        <w:pStyle w:val="Corpodetexto"/>
      </w:pPr>
    </w:p>
    <w:p w14:paraId="44A0BBF8" w14:textId="77777777" w:rsidR="002C18B7" w:rsidRDefault="00000000">
      <w:pPr>
        <w:ind w:left="2754" w:right="2800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487522304" behindDoc="1" locked="0" layoutInCell="1" allowOverlap="1" wp14:anchorId="18BDAC59" wp14:editId="3F898EE0">
            <wp:simplePos x="0" y="0"/>
            <wp:positionH relativeFrom="page">
              <wp:posOffset>982980</wp:posOffset>
            </wp:positionH>
            <wp:positionV relativeFrom="paragraph">
              <wp:posOffset>82132</wp:posOffset>
            </wp:positionV>
            <wp:extent cx="5743575" cy="493014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Jales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Santos </w:t>
      </w:r>
      <w:r>
        <w:rPr>
          <w:b/>
          <w:spacing w:val="-2"/>
          <w:sz w:val="24"/>
        </w:rPr>
        <w:t>Vereador</w:t>
      </w:r>
    </w:p>
    <w:p w14:paraId="6557E18C" w14:textId="77777777" w:rsidR="002C18B7" w:rsidRDefault="00000000">
      <w:pPr>
        <w:ind w:left="2900" w:right="2947" w:firstLine="3"/>
        <w:jc w:val="center"/>
        <w:rPr>
          <w:b/>
          <w:sz w:val="24"/>
        </w:rPr>
      </w:pPr>
      <w:r>
        <w:rPr>
          <w:b/>
          <w:sz w:val="24"/>
        </w:rPr>
        <w:t>Partido dos Trabalhadores Câmara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Araxá</w:t>
      </w:r>
    </w:p>
    <w:p w14:paraId="7774B5F6" w14:textId="77777777" w:rsidR="002C18B7" w:rsidRDefault="002C18B7">
      <w:pPr>
        <w:jc w:val="center"/>
        <w:rPr>
          <w:b/>
          <w:sz w:val="24"/>
        </w:rPr>
        <w:sectPr w:rsidR="002C18B7">
          <w:pgSz w:w="11910" w:h="16840"/>
          <w:pgMar w:top="1060" w:right="1417" w:bottom="1680" w:left="1700" w:header="733" w:footer="1497" w:gutter="0"/>
          <w:cols w:space="720"/>
        </w:sectPr>
      </w:pPr>
    </w:p>
    <w:p w14:paraId="5375931B" w14:textId="77777777" w:rsidR="002C18B7" w:rsidRDefault="00000000">
      <w:pPr>
        <w:spacing w:before="69"/>
        <w:ind w:left="52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JUSTIFICATIVA</w:t>
      </w:r>
    </w:p>
    <w:p w14:paraId="60994CA5" w14:textId="77777777" w:rsidR="002C18B7" w:rsidRDefault="002C18B7">
      <w:pPr>
        <w:pStyle w:val="Corpodetexto"/>
        <w:rPr>
          <w:b/>
        </w:rPr>
      </w:pPr>
    </w:p>
    <w:p w14:paraId="741E4DF9" w14:textId="77777777" w:rsidR="002C18B7" w:rsidRDefault="002C18B7">
      <w:pPr>
        <w:pStyle w:val="Corpodetexto"/>
        <w:rPr>
          <w:b/>
        </w:rPr>
      </w:pPr>
    </w:p>
    <w:p w14:paraId="49A24936" w14:textId="77777777" w:rsidR="002C18B7" w:rsidRDefault="002C18B7">
      <w:pPr>
        <w:pStyle w:val="Corpodetexto"/>
        <w:rPr>
          <w:b/>
        </w:rPr>
      </w:pPr>
    </w:p>
    <w:p w14:paraId="71DF6AEA" w14:textId="77777777" w:rsidR="002C18B7" w:rsidRDefault="00000000">
      <w:pPr>
        <w:pStyle w:val="Corpodetexto"/>
        <w:ind w:left="2" w:right="49" w:firstLine="707"/>
        <w:jc w:val="both"/>
      </w:pPr>
      <w:r>
        <w:t>O presente Projeto de Lei tem</w:t>
      </w:r>
      <w:r>
        <w:rPr>
          <w:spacing w:val="-1"/>
        </w:rPr>
        <w:t xml:space="preserve"> </w:t>
      </w:r>
      <w:r>
        <w:t>como fundamento a necessidade de assegurar justiça fiscal no âmbito municipal, ao propor a isenção do Imposto Predial e Territorial Urbano (IPTU) para imóveis situados em áreas carentes de serviços públicos essenciais, tais como limpeza urbana, iluminação pública, pavimentação e saneamento básico.</w:t>
      </w:r>
    </w:p>
    <w:p w14:paraId="23158C18" w14:textId="77777777" w:rsidR="002C18B7" w:rsidRDefault="002C18B7">
      <w:pPr>
        <w:pStyle w:val="Corpodetexto"/>
      </w:pPr>
    </w:p>
    <w:p w14:paraId="0CAC3C94" w14:textId="77777777" w:rsidR="002C18B7" w:rsidRDefault="00000000">
      <w:pPr>
        <w:pStyle w:val="Corpodetexto"/>
        <w:ind w:left="2" w:right="49" w:firstLine="707"/>
        <w:jc w:val="both"/>
      </w:pPr>
      <w:r>
        <w:rPr>
          <w:noProof/>
        </w:rPr>
        <w:drawing>
          <wp:anchor distT="0" distB="0" distL="0" distR="0" simplePos="0" relativeHeight="487522816" behindDoc="1" locked="0" layoutInCell="1" allowOverlap="1" wp14:anchorId="1B3AF83A" wp14:editId="40517C2C">
            <wp:simplePos x="0" y="0"/>
            <wp:positionH relativeFrom="page">
              <wp:posOffset>982980</wp:posOffset>
            </wp:positionH>
            <wp:positionV relativeFrom="paragraph">
              <wp:posOffset>257377</wp:posOffset>
            </wp:positionV>
            <wp:extent cx="5743575" cy="493014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 objetivo é corrigir uma desigualdade histórica enfrentada por moradores de regiões negligenciadas pelo poder público, que são obrigados a arcar com um tributo sem receber a correspondente contraprestação do Estado em termos de infraestrutura urbana.</w:t>
      </w:r>
    </w:p>
    <w:p w14:paraId="469CB4A9" w14:textId="77777777" w:rsidR="002C18B7" w:rsidRDefault="00000000">
      <w:pPr>
        <w:pStyle w:val="Corpodetexto"/>
        <w:ind w:left="2" w:right="48" w:firstLine="707"/>
        <w:jc w:val="both"/>
      </w:pPr>
      <w:r>
        <w:t>O IPTU é um imposto de competência municipal que, conforme dispõe o Código Tributário Nacional (Lei nº 5,172, de 25 de outubro de 1966) em seu artigo 32, deve</w:t>
      </w:r>
      <w:r>
        <w:rPr>
          <w:spacing w:val="40"/>
        </w:rPr>
        <w:t xml:space="preserve"> </w:t>
      </w:r>
      <w:r>
        <w:t>incidir sobre propriedades localizadas em zonas urbanas, entendidas como aquelas que possuam</w:t>
      </w:r>
      <w:r>
        <w:rPr>
          <w:spacing w:val="-3"/>
        </w:rPr>
        <w:t xml:space="preserve"> </w:t>
      </w:r>
      <w:r>
        <w:t>pelo menos</w:t>
      </w:r>
      <w:r>
        <w:rPr>
          <w:spacing w:val="-2"/>
        </w:rPr>
        <w:t xml:space="preserve"> </w:t>
      </w:r>
      <w:r>
        <w:t>dois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serviços:</w:t>
      </w:r>
      <w:r>
        <w:rPr>
          <w:spacing w:val="-2"/>
        </w:rPr>
        <w:t xml:space="preserve"> </w:t>
      </w:r>
      <w:r>
        <w:t>meio-fio</w:t>
      </w:r>
      <w:r>
        <w:rPr>
          <w:spacing w:val="-1"/>
        </w:rPr>
        <w:t xml:space="preserve"> </w:t>
      </w:r>
      <w:r>
        <w:t>ou calçamento com</w:t>
      </w:r>
      <w:r>
        <w:rPr>
          <w:spacing w:val="-1"/>
        </w:rPr>
        <w:t xml:space="preserve"> </w:t>
      </w:r>
      <w:r>
        <w:t>canalização de águas pluviais, abastecimento de água, sistema de esgoto sanitário, rede de iluminação pública e escola ou posto de saúde próximos.</w:t>
      </w:r>
    </w:p>
    <w:p w14:paraId="04CB8865" w14:textId="77777777" w:rsidR="002C18B7" w:rsidRDefault="002C18B7">
      <w:pPr>
        <w:pStyle w:val="Corpodetexto"/>
      </w:pPr>
    </w:p>
    <w:p w14:paraId="0F3C4BBC" w14:textId="77777777" w:rsidR="002C18B7" w:rsidRDefault="00000000">
      <w:pPr>
        <w:pStyle w:val="Corpodetexto"/>
        <w:spacing w:before="1"/>
        <w:ind w:left="2" w:right="47" w:firstLine="707"/>
        <w:jc w:val="both"/>
      </w:pPr>
      <w:r>
        <w:t>Dessa forma, a cobrança do IPTU de imóveis em áreas sem a presença mínima desses elementos configura uma infração ao próprio texto legal, pois não se justifica a incidência do imposto sobre áreas que sequer atendem aos critérios legais de urbanização. Ademais, do ponto de vista constitucional, o projeto se ancora no princípio da capacidade contributiva,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artigo 145,</w:t>
      </w:r>
      <w:r>
        <w:rPr>
          <w:spacing w:val="-1"/>
        </w:rPr>
        <w:t xml:space="preserve"> </w:t>
      </w:r>
      <w:r>
        <w:t>§1° da</w:t>
      </w:r>
      <w:r>
        <w:rPr>
          <w:spacing w:val="-1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exige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os tributos sejam graduados conforme a possibilidade econômica do contribuinte.</w:t>
      </w:r>
    </w:p>
    <w:p w14:paraId="173211E3" w14:textId="77777777" w:rsidR="002C18B7" w:rsidRDefault="002C18B7">
      <w:pPr>
        <w:pStyle w:val="Corpodetexto"/>
      </w:pPr>
    </w:p>
    <w:p w14:paraId="76E4F9D8" w14:textId="77777777" w:rsidR="002C18B7" w:rsidRDefault="00000000">
      <w:pPr>
        <w:pStyle w:val="Corpodetexto"/>
        <w:ind w:left="2" w:right="47" w:firstLine="707"/>
        <w:jc w:val="both"/>
      </w:pPr>
      <w:r>
        <w:t>Quando um cidadão paga imposto por um imóvel situado em área sem serviços básicos, sua capacidade contributiva está sendo ignorada, gerando uma distorção no sistema tributário municipal. É obrigação do Estado observar essa limitação e corrigir disparidades por meio de mecanismos como isenções ou políticas compensatórias. Outro princípio constitucional violado pela cobrança indevida do IPTU em áreas precárias é o da função social da propriedade, previsto no artigo 5°, inciso XXIII, da Constituição.</w:t>
      </w:r>
    </w:p>
    <w:p w14:paraId="4951BF24" w14:textId="77777777" w:rsidR="002C18B7" w:rsidRDefault="002C18B7">
      <w:pPr>
        <w:pStyle w:val="Corpodetexto"/>
      </w:pPr>
    </w:p>
    <w:p w14:paraId="601EA2AA" w14:textId="77777777" w:rsidR="002C18B7" w:rsidRDefault="00000000">
      <w:pPr>
        <w:pStyle w:val="Corpodetexto"/>
        <w:spacing w:before="1"/>
        <w:ind w:left="2" w:right="47" w:firstLine="707"/>
        <w:jc w:val="both"/>
      </w:pPr>
      <w:r>
        <w:t>Para que o imóvel cumpra sua função social, ele precisa estar integrado a uma malha</w:t>
      </w:r>
      <w:r>
        <w:rPr>
          <w:spacing w:val="-3"/>
        </w:rPr>
        <w:t xml:space="preserve"> </w:t>
      </w:r>
      <w:r>
        <w:t>urbana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acesso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saneamento,</w:t>
      </w:r>
      <w:r>
        <w:rPr>
          <w:spacing w:val="-3"/>
        </w:rPr>
        <w:t xml:space="preserve"> </w:t>
      </w:r>
      <w:r>
        <w:t>iluminação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mobilidade.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esses</w:t>
      </w:r>
      <w:r>
        <w:rPr>
          <w:spacing w:val="-4"/>
        </w:rPr>
        <w:t xml:space="preserve"> </w:t>
      </w:r>
      <w:r>
        <w:t>requisitos não são atendidos pelo poder público, perde-se o fundamento da exigência do tributo, que pressupõe a inserção do bem imóvel em um espaço urbano funcional e habitável. O projeto, portanto, não apenas garante justiça tributária, como também valoriza a função social da propriedade ao estabelecer um padrão mínimo de dignidade para o exercício da titularidade imobiliária urbana. Sob a ótica da administração pública, a iniciativa também encontra respaldo nos princípios da eficiência, legalidade e moralidade administrativa, todos previstos no artigo 37 da Constituição Federal.</w:t>
      </w:r>
    </w:p>
    <w:p w14:paraId="125344C1" w14:textId="77777777" w:rsidR="002C18B7" w:rsidRDefault="00000000">
      <w:pPr>
        <w:pStyle w:val="Corpodetexto"/>
        <w:spacing w:before="274"/>
        <w:ind w:left="2" w:right="48" w:firstLine="707"/>
        <w:jc w:val="both"/>
      </w:pPr>
      <w:r>
        <w:t>A</w:t>
      </w:r>
      <w:r>
        <w:rPr>
          <w:spacing w:val="-1"/>
        </w:rPr>
        <w:t xml:space="preserve"> </w:t>
      </w:r>
      <w:r>
        <w:t>manutenção da cobrança de IPTU em áreas sem serviços viola esses princípios, pois compromete a boa gestão dos recursos públicos, deslegitima a política tributária e reforça a desconfiança do contribuinte em relação ao Estado.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proposta aqui apresentada busca justamente reverter esse cenário, criando um instrumento de pressão institucional para que o poder público priorize a oferta de infraestrutura urbana nas regiões que mais </w:t>
      </w:r>
      <w:r>
        <w:rPr>
          <w:spacing w:val="-2"/>
        </w:rPr>
        <w:t>necessitam.</w:t>
      </w:r>
    </w:p>
    <w:p w14:paraId="1F81504B" w14:textId="77777777" w:rsidR="002C18B7" w:rsidRDefault="002C18B7">
      <w:pPr>
        <w:pStyle w:val="Corpodetexto"/>
        <w:jc w:val="both"/>
        <w:sectPr w:rsidR="002C18B7">
          <w:pgSz w:w="11910" w:h="16840"/>
          <w:pgMar w:top="1060" w:right="1417" w:bottom="1680" w:left="1700" w:header="733" w:footer="1497" w:gutter="0"/>
          <w:cols w:space="720"/>
        </w:sectPr>
      </w:pPr>
    </w:p>
    <w:p w14:paraId="3EF21F38" w14:textId="77777777" w:rsidR="002C18B7" w:rsidRDefault="002C18B7">
      <w:pPr>
        <w:pStyle w:val="Corpodetexto"/>
        <w:spacing w:before="69"/>
      </w:pPr>
    </w:p>
    <w:p w14:paraId="69A4763E" w14:textId="77777777" w:rsidR="002C18B7" w:rsidRDefault="00000000">
      <w:pPr>
        <w:pStyle w:val="Corpodetexto"/>
        <w:ind w:left="2" w:right="48" w:firstLine="707"/>
        <w:jc w:val="both"/>
      </w:pPr>
      <w:r>
        <w:t>Em Araxá, ainda existem várias regiões com carência de infraestrutura urbana básica, especialmente nas áreas de expansão periférica e bairros em processo de regularização,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projeto,</w:t>
      </w:r>
      <w:r>
        <w:rPr>
          <w:spacing w:val="-2"/>
        </w:rPr>
        <w:t xml:space="preserve"> </w:t>
      </w:r>
      <w:r>
        <w:t>portanto,</w:t>
      </w:r>
      <w:r>
        <w:rPr>
          <w:spacing w:val="-2"/>
        </w:rPr>
        <w:t xml:space="preserve"> </w:t>
      </w:r>
      <w:r>
        <w:t>busca corrigir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desigualdade</w:t>
      </w:r>
      <w:r>
        <w:rPr>
          <w:spacing w:val="-3"/>
        </w:rPr>
        <w:t xml:space="preserve"> </w:t>
      </w:r>
      <w:r>
        <w:t>tributária,</w:t>
      </w:r>
      <w:r>
        <w:rPr>
          <w:spacing w:val="-2"/>
        </w:rPr>
        <w:t xml:space="preserve"> </w:t>
      </w:r>
      <w:r>
        <w:t>evitando</w:t>
      </w:r>
      <w:r>
        <w:rPr>
          <w:spacing w:val="-2"/>
        </w:rPr>
        <w:t xml:space="preserve"> </w:t>
      </w:r>
      <w:r>
        <w:t>que cidadãos que não recebem serviços públicos essenciais sejam onerados com o mesmo imposto devido por imóveis plenamente atendidos pela infraestrutura urbana.</w:t>
      </w:r>
    </w:p>
    <w:p w14:paraId="65590CA0" w14:textId="77777777" w:rsidR="002C18B7" w:rsidRDefault="002C18B7">
      <w:pPr>
        <w:pStyle w:val="Corpodetexto"/>
      </w:pPr>
    </w:p>
    <w:p w14:paraId="244649BE" w14:textId="77777777" w:rsidR="002C18B7" w:rsidRDefault="002C18B7">
      <w:pPr>
        <w:pStyle w:val="Corpodetexto"/>
      </w:pPr>
    </w:p>
    <w:p w14:paraId="3787BBEA" w14:textId="77777777" w:rsidR="002C18B7" w:rsidRDefault="002C18B7">
      <w:pPr>
        <w:pStyle w:val="Corpodetexto"/>
      </w:pPr>
    </w:p>
    <w:p w14:paraId="6D40DB31" w14:textId="77777777" w:rsidR="002C18B7" w:rsidRDefault="00000000">
      <w:pPr>
        <w:pStyle w:val="Corpodetexto"/>
        <w:ind w:left="1418"/>
      </w:pPr>
      <w:r>
        <w:rPr>
          <w:noProof/>
        </w:rPr>
        <w:drawing>
          <wp:anchor distT="0" distB="0" distL="0" distR="0" simplePos="0" relativeHeight="487523328" behindDoc="1" locked="0" layoutInCell="1" allowOverlap="1" wp14:anchorId="1115792E" wp14:editId="7FD6A157">
            <wp:simplePos x="0" y="0"/>
            <wp:positionH relativeFrom="page">
              <wp:posOffset>982980</wp:posOffset>
            </wp:positionH>
            <wp:positionV relativeFrom="paragraph">
              <wp:posOffset>257377</wp:posOffset>
            </wp:positionV>
            <wp:extent cx="5743575" cy="493014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4930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Plenário</w:t>
      </w:r>
      <w:r>
        <w:rPr>
          <w:spacing w:val="-9"/>
        </w:rPr>
        <w:t xml:space="preserve"> </w:t>
      </w:r>
      <w:r>
        <w:t>Vereador</w:t>
      </w:r>
      <w:r>
        <w:rPr>
          <w:spacing w:val="-3"/>
        </w:rPr>
        <w:t xml:space="preserve"> </w:t>
      </w:r>
      <w:r>
        <w:t>Guilherme</w:t>
      </w:r>
      <w:r>
        <w:rPr>
          <w:spacing w:val="-4"/>
        </w:rPr>
        <w:t xml:space="preserve"> </w:t>
      </w:r>
      <w:r>
        <w:t>Gotelip</w:t>
      </w:r>
      <w:r>
        <w:rPr>
          <w:spacing w:val="-4"/>
        </w:rPr>
        <w:t xml:space="preserve"> </w:t>
      </w:r>
      <w:r>
        <w:t>Neto</w:t>
      </w:r>
      <w:r>
        <w:rPr>
          <w:spacing w:val="-3"/>
        </w:rPr>
        <w:t xml:space="preserve"> </w:t>
      </w:r>
      <w:r>
        <w:t>em,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2025.</w:t>
      </w:r>
    </w:p>
    <w:p w14:paraId="6C25E92C" w14:textId="77777777" w:rsidR="002C18B7" w:rsidRDefault="002C18B7">
      <w:pPr>
        <w:pStyle w:val="Corpodetexto"/>
      </w:pPr>
    </w:p>
    <w:p w14:paraId="056F3F4A" w14:textId="77777777" w:rsidR="002C18B7" w:rsidRDefault="002C18B7">
      <w:pPr>
        <w:pStyle w:val="Corpodetexto"/>
      </w:pPr>
    </w:p>
    <w:p w14:paraId="17DBA891" w14:textId="77777777" w:rsidR="002C18B7" w:rsidRDefault="002C18B7">
      <w:pPr>
        <w:pStyle w:val="Corpodetexto"/>
      </w:pPr>
    </w:p>
    <w:p w14:paraId="60DE7C5E" w14:textId="77777777" w:rsidR="002C18B7" w:rsidRDefault="002C18B7">
      <w:pPr>
        <w:pStyle w:val="Corpodetexto"/>
      </w:pPr>
    </w:p>
    <w:p w14:paraId="52561D1B" w14:textId="77777777" w:rsidR="002C18B7" w:rsidRDefault="00000000">
      <w:pPr>
        <w:ind w:left="2754" w:right="2800"/>
        <w:jc w:val="center"/>
        <w:rPr>
          <w:b/>
          <w:sz w:val="24"/>
        </w:rPr>
      </w:pPr>
      <w:r>
        <w:rPr>
          <w:b/>
          <w:sz w:val="24"/>
        </w:rPr>
        <w:t>Jales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Santos </w:t>
      </w:r>
      <w:r>
        <w:rPr>
          <w:b/>
          <w:spacing w:val="-2"/>
          <w:sz w:val="24"/>
        </w:rPr>
        <w:t>Vereador</w:t>
      </w:r>
    </w:p>
    <w:p w14:paraId="4CA7716B" w14:textId="77777777" w:rsidR="002C18B7" w:rsidRDefault="00000000">
      <w:pPr>
        <w:spacing w:before="1"/>
        <w:ind w:left="2900" w:right="2947" w:firstLine="1"/>
        <w:jc w:val="center"/>
        <w:rPr>
          <w:b/>
          <w:sz w:val="24"/>
        </w:rPr>
      </w:pPr>
      <w:r>
        <w:rPr>
          <w:b/>
          <w:sz w:val="24"/>
        </w:rPr>
        <w:t>Partido dos trabalhadores Câmara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Municipal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Araxá</w:t>
      </w:r>
    </w:p>
    <w:sectPr w:rsidR="002C18B7">
      <w:pgSz w:w="11910" w:h="16840"/>
      <w:pgMar w:top="1060" w:right="1417" w:bottom="1680" w:left="1700" w:header="733" w:footer="14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13A2D" w14:textId="77777777" w:rsidR="00D64C2D" w:rsidRDefault="00D64C2D">
      <w:r>
        <w:separator/>
      </w:r>
    </w:p>
  </w:endnote>
  <w:endnote w:type="continuationSeparator" w:id="0">
    <w:p w14:paraId="6FFC9D91" w14:textId="77777777" w:rsidR="00D64C2D" w:rsidRDefault="00D64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E71C" w14:textId="77777777" w:rsidR="002C18B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1AF59DD5" wp14:editId="5BB4A8FA">
              <wp:simplePos x="0" y="0"/>
              <wp:positionH relativeFrom="page">
                <wp:posOffset>1062037</wp:posOffset>
              </wp:positionH>
              <wp:positionV relativeFrom="page">
                <wp:posOffset>9564052</wp:posOffset>
              </wp:positionV>
              <wp:extent cx="5587365" cy="762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736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7365" h="7620">
                            <a:moveTo>
                              <a:pt x="5587365" y="5092"/>
                            </a:moveTo>
                            <a:lnTo>
                              <a:pt x="0" y="5092"/>
                            </a:lnTo>
                            <a:lnTo>
                              <a:pt x="0" y="7620"/>
                            </a:lnTo>
                            <a:lnTo>
                              <a:pt x="5587365" y="7620"/>
                            </a:lnTo>
                            <a:lnTo>
                              <a:pt x="5587365" y="5092"/>
                            </a:lnTo>
                            <a:close/>
                          </a:path>
                          <a:path w="5587365" h="7620">
                            <a:moveTo>
                              <a:pt x="5587365" y="0"/>
                            </a:moveTo>
                            <a:lnTo>
                              <a:pt x="0" y="0"/>
                            </a:lnTo>
                            <a:lnTo>
                              <a:pt x="0" y="2540"/>
                            </a:lnTo>
                            <a:lnTo>
                              <a:pt x="5587365" y="2540"/>
                            </a:lnTo>
                            <a:lnTo>
                              <a:pt x="558736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5A2B1F" id="Graphic 2" o:spid="_x0000_s1026" style="position:absolute;margin-left:83.6pt;margin-top:753.05pt;width:439.95pt;height:.6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736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" path="m5587365,5092l,5092,,7620r5587365,l5587365,5092xem5587365,l,,,2540r5587365,l558736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3CC36C4B" wp14:editId="301E3B2F">
              <wp:simplePos x="0" y="0"/>
              <wp:positionH relativeFrom="page">
                <wp:posOffset>1272794</wp:posOffset>
              </wp:positionH>
              <wp:positionV relativeFrom="page">
                <wp:posOffset>9745634</wp:posOffset>
              </wp:positionV>
              <wp:extent cx="5166360" cy="5016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6360" cy="501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81A59" w14:textId="77777777" w:rsidR="002C18B7" w:rsidRDefault="00000000">
                          <w:pPr>
                            <w:spacing w:before="10"/>
                            <w:ind w:lef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Av.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João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Paulo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II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nº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1200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Guilhermina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Vieira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Chaer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–</w:t>
                          </w:r>
                          <w:r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Araxá-MG,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CEP: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38184-122 Fone/Fax: (34)3662-3040</w:t>
                          </w:r>
                        </w:p>
                        <w:p w14:paraId="57D79EF3" w14:textId="77777777" w:rsidR="002C18B7" w:rsidRDefault="00000000">
                          <w:pPr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000FF"/>
                                <w:spacing w:val="-2"/>
                                <w:u w:val="single" w:color="0000FF"/>
                              </w:rPr>
                              <w:t>www.araxa.mg.leg.br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36C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0.2pt;margin-top:767.35pt;width:406.8pt;height:39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" filled="f" stroked="f">
              <v:textbox inset="0,0,0,0">
                <w:txbxContent>
                  <w:p w14:paraId="5EB81A59" w14:textId="77777777" w:rsidR="002C18B7" w:rsidRDefault="00000000">
                    <w:pPr>
                      <w:spacing w:before="10"/>
                      <w:ind w:lef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Av.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João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Paulo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II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nº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1200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Guilhermina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Vieira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Chaer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–</w:t>
                    </w:r>
                    <w:r>
                      <w:rPr>
                        <w:b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Araxá-MG,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CEP: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38184-122 Fone/Fax: (34)3662-3040</w:t>
                    </w:r>
                  </w:p>
                  <w:p w14:paraId="57D79EF3" w14:textId="77777777" w:rsidR="002C18B7" w:rsidRDefault="00000000">
                    <w:pPr>
                      <w:ind w:left="2" w:right="2"/>
                      <w:jc w:val="center"/>
                      <w:rPr>
                        <w:b/>
                      </w:rPr>
                    </w:pPr>
                    <w:hyperlink r:id="rId2">
                      <w:r>
                        <w:rPr>
                          <w:b/>
                          <w:color w:val="0000FF"/>
                          <w:spacing w:val="-2"/>
                          <w:u w:val="single" w:color="0000FF"/>
                        </w:rPr>
                        <w:t>www.araxa.mg.leg.br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F0B9" w14:textId="77777777" w:rsidR="00D64C2D" w:rsidRDefault="00D64C2D">
      <w:r>
        <w:separator/>
      </w:r>
    </w:p>
  </w:footnote>
  <w:footnote w:type="continuationSeparator" w:id="0">
    <w:p w14:paraId="131B9413" w14:textId="77777777" w:rsidR="00D64C2D" w:rsidRDefault="00D64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3A0" w14:textId="77777777" w:rsidR="002C18B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F25E3D8" wp14:editId="2BA2ADE3">
              <wp:simplePos x="0" y="0"/>
              <wp:positionH relativeFrom="page">
                <wp:posOffset>1084897</wp:posOffset>
              </wp:positionH>
              <wp:positionV relativeFrom="page">
                <wp:posOffset>452543</wp:posOffset>
              </wp:positionV>
              <wp:extent cx="5541645" cy="23685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1645" cy="2368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D14DEC" w14:textId="77777777" w:rsidR="002C18B7" w:rsidRDefault="00000000">
                          <w:pPr>
                            <w:spacing w:before="7"/>
                            <w:ind w:left="20"/>
                            <w:rPr>
                              <w:sz w:val="30"/>
                            </w:rPr>
                          </w:pPr>
                          <w:r>
                            <w:rPr>
                              <w:sz w:val="30"/>
                            </w:rPr>
                            <w:t>CÂMARA</w:t>
                          </w:r>
                          <w:r>
                            <w:rPr>
                              <w:spacing w:val="-2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MUNICIPAL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9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ARAXÁ</w:t>
                          </w:r>
                          <w:r>
                            <w:rPr>
                              <w:spacing w:val="-18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-</w:t>
                          </w:r>
                          <w:r>
                            <w:rPr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ESTADO</w:t>
                          </w:r>
                          <w:r>
                            <w:rPr>
                              <w:spacing w:val="-1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DE</w:t>
                          </w:r>
                          <w:r>
                            <w:rPr>
                              <w:spacing w:val="-10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z w:val="30"/>
                            </w:rPr>
                            <w:t>MINAS</w:t>
                          </w:r>
                          <w:r>
                            <w:rPr>
                              <w:spacing w:val="-11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30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5E3D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4pt;margin-top:35.65pt;width:436.35pt;height:18.6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" filled="f" stroked="f">
              <v:textbox inset="0,0,0,0">
                <w:txbxContent>
                  <w:p w14:paraId="12D14DEC" w14:textId="77777777" w:rsidR="002C18B7" w:rsidRDefault="00000000">
                    <w:pPr>
                      <w:spacing w:before="7"/>
                      <w:ind w:left="20"/>
                      <w:rPr>
                        <w:sz w:val="30"/>
                      </w:rPr>
                    </w:pPr>
                    <w:r>
                      <w:rPr>
                        <w:sz w:val="30"/>
                      </w:rPr>
                      <w:t>CÂMARA</w:t>
                    </w:r>
                    <w:r>
                      <w:rPr>
                        <w:spacing w:val="-2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MUNICIPAL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9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ARAXÁ</w:t>
                    </w:r>
                    <w:r>
                      <w:rPr>
                        <w:spacing w:val="-18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-</w:t>
                    </w:r>
                    <w:r>
                      <w:rPr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ESTADO</w:t>
                    </w:r>
                    <w:r>
                      <w:rPr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DE</w:t>
                    </w:r>
                    <w:r>
                      <w:rPr>
                        <w:spacing w:val="-10"/>
                        <w:sz w:val="30"/>
                      </w:rPr>
                      <w:t xml:space="preserve"> </w:t>
                    </w:r>
                    <w:r>
                      <w:rPr>
                        <w:sz w:val="30"/>
                      </w:rPr>
                      <w:t>MINAS</w:t>
                    </w:r>
                    <w:r>
                      <w:rPr>
                        <w:spacing w:val="-11"/>
                        <w:sz w:val="30"/>
                      </w:rPr>
                      <w:t xml:space="preserve"> </w:t>
                    </w:r>
                    <w:r>
                      <w:rPr>
                        <w:spacing w:val="-2"/>
                        <w:sz w:val="30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22330"/>
    <w:multiLevelType w:val="hybridMultilevel"/>
    <w:tmpl w:val="15026FF4"/>
    <w:lvl w:ilvl="0" w:tplc="7F60EA3E">
      <w:start w:val="1"/>
      <w:numFmt w:val="upperRoman"/>
      <w:lvlText w:val="%1"/>
      <w:lvlJc w:val="left"/>
      <w:pPr>
        <w:ind w:left="142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D4866A2">
      <w:numFmt w:val="bullet"/>
      <w:lvlText w:val="•"/>
      <w:lvlJc w:val="left"/>
      <w:pPr>
        <w:ind w:left="834" w:hanging="140"/>
      </w:pPr>
      <w:rPr>
        <w:rFonts w:hint="default"/>
        <w:lang w:val="pt-PT" w:eastAsia="en-US" w:bidi="ar-SA"/>
      </w:rPr>
    </w:lvl>
    <w:lvl w:ilvl="2" w:tplc="D13EBB08">
      <w:numFmt w:val="bullet"/>
      <w:lvlText w:val="•"/>
      <w:lvlJc w:val="left"/>
      <w:pPr>
        <w:ind w:left="1529" w:hanging="140"/>
      </w:pPr>
      <w:rPr>
        <w:rFonts w:hint="default"/>
        <w:lang w:val="pt-PT" w:eastAsia="en-US" w:bidi="ar-SA"/>
      </w:rPr>
    </w:lvl>
    <w:lvl w:ilvl="3" w:tplc="BEEE341E">
      <w:numFmt w:val="bullet"/>
      <w:lvlText w:val="•"/>
      <w:lvlJc w:val="left"/>
      <w:pPr>
        <w:ind w:left="2224" w:hanging="140"/>
      </w:pPr>
      <w:rPr>
        <w:rFonts w:hint="default"/>
        <w:lang w:val="pt-PT" w:eastAsia="en-US" w:bidi="ar-SA"/>
      </w:rPr>
    </w:lvl>
    <w:lvl w:ilvl="4" w:tplc="C77A284E">
      <w:numFmt w:val="bullet"/>
      <w:lvlText w:val="•"/>
      <w:lvlJc w:val="left"/>
      <w:pPr>
        <w:ind w:left="2918" w:hanging="140"/>
      </w:pPr>
      <w:rPr>
        <w:rFonts w:hint="default"/>
        <w:lang w:val="pt-PT" w:eastAsia="en-US" w:bidi="ar-SA"/>
      </w:rPr>
    </w:lvl>
    <w:lvl w:ilvl="5" w:tplc="8416D8E0">
      <w:numFmt w:val="bullet"/>
      <w:lvlText w:val="•"/>
      <w:lvlJc w:val="left"/>
      <w:pPr>
        <w:ind w:left="3613" w:hanging="140"/>
      </w:pPr>
      <w:rPr>
        <w:rFonts w:hint="default"/>
        <w:lang w:val="pt-PT" w:eastAsia="en-US" w:bidi="ar-SA"/>
      </w:rPr>
    </w:lvl>
    <w:lvl w:ilvl="6" w:tplc="9848988E">
      <w:numFmt w:val="bullet"/>
      <w:lvlText w:val="•"/>
      <w:lvlJc w:val="left"/>
      <w:pPr>
        <w:ind w:left="4308" w:hanging="140"/>
      </w:pPr>
      <w:rPr>
        <w:rFonts w:hint="default"/>
        <w:lang w:val="pt-PT" w:eastAsia="en-US" w:bidi="ar-SA"/>
      </w:rPr>
    </w:lvl>
    <w:lvl w:ilvl="7" w:tplc="1A0A4D1A">
      <w:numFmt w:val="bullet"/>
      <w:lvlText w:val="•"/>
      <w:lvlJc w:val="left"/>
      <w:pPr>
        <w:ind w:left="5002" w:hanging="140"/>
      </w:pPr>
      <w:rPr>
        <w:rFonts w:hint="default"/>
        <w:lang w:val="pt-PT" w:eastAsia="en-US" w:bidi="ar-SA"/>
      </w:rPr>
    </w:lvl>
    <w:lvl w:ilvl="8" w:tplc="4D1ECD0A">
      <w:numFmt w:val="bullet"/>
      <w:lvlText w:val="•"/>
      <w:lvlJc w:val="left"/>
      <w:pPr>
        <w:ind w:left="5697" w:hanging="140"/>
      </w:pPr>
      <w:rPr>
        <w:rFonts w:hint="default"/>
        <w:lang w:val="pt-PT" w:eastAsia="en-US" w:bidi="ar-SA"/>
      </w:rPr>
    </w:lvl>
  </w:abstractNum>
  <w:num w:numId="1" w16cid:durableId="154324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B7"/>
    <w:rsid w:val="002C18B7"/>
    <w:rsid w:val="007548D5"/>
    <w:rsid w:val="00D64C2D"/>
    <w:rsid w:val="00F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F6A00"/>
  <w15:docId w15:val="{A7BCAF83-77D5-4550-9602-853ADA99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"/>
      <w:ind w:left="20"/>
    </w:pPr>
    <w:rPr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141" w:hanging="3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axa.mg.leg.br/" TargetMode="External"/><Relationship Id="rId1" Type="http://schemas.openxmlformats.org/officeDocument/2006/relationships/hyperlink" Target="http://www.araxa.mg.leg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973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creator>drmuri</dc:creator>
  <cp:lastModifiedBy>Cintia Alves</cp:lastModifiedBy>
  <cp:revision>2</cp:revision>
  <dcterms:created xsi:type="dcterms:W3CDTF">2025-10-15T18:59:00Z</dcterms:created>
  <dcterms:modified xsi:type="dcterms:W3CDTF">2025-10-15T18:59:00Z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2021</vt:lpwstr>
  </property>
</Properties>
</file>