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30CF" w14:textId="77777777" w:rsidR="00445B3C" w:rsidRDefault="00445B3C">
      <w:pPr>
        <w:rPr>
          <w:rFonts w:ascii="Times New Roman" w:hAnsi="Times New Roman"/>
          <w:b/>
          <w:bCs/>
          <w:sz w:val="28"/>
          <w:szCs w:val="28"/>
        </w:rPr>
      </w:pPr>
    </w:p>
    <w:p w14:paraId="156A48E6" w14:textId="11CEBD96" w:rsidR="00445B3C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Projeto de Lei N.º </w:t>
      </w:r>
      <w:r w:rsidR="0083715C">
        <w:rPr>
          <w:rFonts w:ascii="Times New Roman" w:hAnsi="Times New Roman"/>
          <w:b/>
          <w:bCs/>
          <w:sz w:val="28"/>
          <w:szCs w:val="28"/>
        </w:rPr>
        <w:t>3</w:t>
      </w:r>
      <w:r w:rsidR="00D37476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/</w:t>
      </w:r>
      <w:r w:rsidR="0083715C">
        <w:rPr>
          <w:rFonts w:ascii="Times New Roman" w:hAnsi="Times New Roman"/>
          <w:b/>
          <w:bCs/>
          <w:sz w:val="28"/>
          <w:szCs w:val="28"/>
        </w:rPr>
        <w:t>2026</w:t>
      </w:r>
    </w:p>
    <w:p w14:paraId="297B4EE9" w14:textId="77777777" w:rsidR="00445B3C" w:rsidRDefault="00445B3C">
      <w:pPr>
        <w:rPr>
          <w:rFonts w:ascii="Times New Roman" w:hAnsi="Times New Roman"/>
          <w:b/>
          <w:bCs/>
          <w:sz w:val="28"/>
          <w:szCs w:val="28"/>
        </w:rPr>
      </w:pPr>
    </w:p>
    <w:p w14:paraId="7A8F12B0" w14:textId="77777777" w:rsidR="00445B3C" w:rsidRDefault="00445B3C">
      <w:pPr>
        <w:rPr>
          <w:rFonts w:ascii="Times New Roman" w:hAnsi="Times New Roman"/>
          <w:b/>
          <w:bCs/>
          <w:sz w:val="28"/>
          <w:szCs w:val="28"/>
        </w:rPr>
      </w:pPr>
    </w:p>
    <w:p w14:paraId="5DCCE62B" w14:textId="77777777" w:rsidR="00445B3C" w:rsidRDefault="00445B3C">
      <w:pPr>
        <w:rPr>
          <w:rFonts w:ascii="Times New Roman" w:hAnsi="Times New Roman"/>
          <w:b/>
          <w:bCs/>
          <w:sz w:val="28"/>
          <w:szCs w:val="28"/>
        </w:rPr>
      </w:pPr>
    </w:p>
    <w:p w14:paraId="18A6DFC2" w14:textId="77777777" w:rsidR="00445B3C" w:rsidRDefault="00000000">
      <w:pPr>
        <w:ind w:left="354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Institui diretrizes para a implementação do Programa “Horta Escolar” nas escolas municipais de Araxá e dá outras providências</w:t>
      </w:r>
    </w:p>
    <w:p w14:paraId="54E2CAAD" w14:textId="77777777" w:rsidR="00445B3C" w:rsidRDefault="00445B3C">
      <w:pPr>
        <w:ind w:left="3545"/>
        <w:rPr>
          <w:rFonts w:ascii="Times New Roman" w:hAnsi="Times New Roman"/>
          <w:b/>
          <w:bCs/>
          <w:sz w:val="28"/>
          <w:szCs w:val="28"/>
        </w:rPr>
      </w:pPr>
    </w:p>
    <w:p w14:paraId="1B862757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049FFBF1" w14:textId="77777777" w:rsidR="00445B3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A </w:t>
      </w:r>
      <w:r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ARAXÁ</w:t>
      </w:r>
      <w:r>
        <w:rPr>
          <w:rFonts w:ascii="Times New Roman" w:hAnsi="Times New Roman"/>
          <w:sz w:val="28"/>
          <w:szCs w:val="28"/>
        </w:rPr>
        <w:t xml:space="preserve">, por proposição do Vereador </w:t>
      </w:r>
      <w:r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Raphael Rios de Oliveira</w:t>
      </w:r>
      <w:r>
        <w:rPr>
          <w:rFonts w:ascii="Times New Roman" w:hAnsi="Times New Roman"/>
          <w:sz w:val="28"/>
          <w:szCs w:val="28"/>
        </w:rPr>
        <w:t xml:space="preserve"> com a Graça de Deus aprova e eu, Prefeito, sanciono e promulgo a seguinte LEI:</w:t>
      </w:r>
    </w:p>
    <w:p w14:paraId="0890FD08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3D47E363" w14:textId="77777777" w:rsidR="00445B3C" w:rsidRDefault="00000000">
      <w:pPr>
        <w:pStyle w:val="NormalWeb"/>
        <w:spacing w:before="280" w:after="280" w:line="360" w:lineRule="auto"/>
        <w:ind w:firstLine="567"/>
        <w:jc w:val="both"/>
      </w:pPr>
      <w:r>
        <w:rPr>
          <w:rFonts w:eastAsia="DejaVu Sans" w:cs="DejaVu Sans"/>
          <w:b/>
          <w:bCs/>
          <w:kern w:val="2"/>
          <w:sz w:val="28"/>
          <w:szCs w:val="28"/>
        </w:rPr>
        <w:t>Art. 1º -</w:t>
      </w:r>
      <w:r>
        <w:rPr>
          <w:rFonts w:eastAsia="DejaVu Sans" w:cs="DejaVu Sans"/>
          <w:kern w:val="2"/>
          <w:sz w:val="28"/>
          <w:szCs w:val="28"/>
        </w:rPr>
        <w:t xml:space="preserve">  Ficam instituídas, no âmbito do Município de Araxá, diretrizes para a implementação do Programa “Horta Escolar”, com a finalidade de incentivar a criação, manutenção e utilização de hortas escolares como instrumento de promoção da educação interdisciplinar, da segurança alimentar e nutricional, da educação ambiental e da integração de conhecimentos..</w:t>
      </w:r>
    </w:p>
    <w:p w14:paraId="09EB31BF" w14:textId="77777777" w:rsidR="00445B3C" w:rsidRDefault="00000000">
      <w:pPr>
        <w:spacing w:after="160" w:line="259" w:lineRule="auto"/>
        <w:ind w:firstLine="567"/>
        <w:jc w:val="both"/>
        <w:rPr>
          <w:rFonts w:ascii="Times New Roman" w:hAnsi="Times New Roman"/>
        </w:rPr>
      </w:pPr>
      <w:bookmarkStart w:id="0" w:name="art2"/>
      <w:bookmarkEnd w:id="0"/>
      <w:r>
        <w:rPr>
          <w:rFonts w:ascii="Times New Roman" w:hAnsi="Times New Roman"/>
          <w:b/>
          <w:bCs/>
          <w:sz w:val="28"/>
          <w:szCs w:val="28"/>
        </w:rPr>
        <w:t>Art. 2º -</w:t>
      </w:r>
      <w:r>
        <w:rPr>
          <w:rFonts w:ascii="Times New Roman" w:hAnsi="Times New Roman"/>
          <w:sz w:val="28"/>
          <w:szCs w:val="28"/>
        </w:rPr>
        <w:t xml:space="preserve"> O Programa “Horta Escolar” terá como objetivos:</w:t>
      </w:r>
    </w:p>
    <w:p w14:paraId="1EE02BA1" w14:textId="77777777" w:rsidR="00445B3C" w:rsidRDefault="00000000">
      <w:pPr>
        <w:spacing w:after="160" w:line="259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I –</w:t>
      </w:r>
      <w:r>
        <w:rPr>
          <w:rFonts w:ascii="Times New Roman" w:hAnsi="Times New Roman"/>
          <w:sz w:val="28"/>
          <w:szCs w:val="28"/>
        </w:rPr>
        <w:t xml:space="preserve"> incentivar a educação ambiental, integrando atividades práticas às propostas pedagógicas da rede municipal de ensino;</w:t>
      </w:r>
      <w:r>
        <w:rPr>
          <w:rFonts w:ascii="Times New Roman" w:hAnsi="Times New Roman"/>
          <w:sz w:val="28"/>
          <w:szCs w:val="28"/>
        </w:rPr>
        <w:br/>
      </w:r>
    </w:p>
    <w:p w14:paraId="18F67EA8" w14:textId="77777777" w:rsidR="00445B3C" w:rsidRDefault="00000000">
      <w:pPr>
        <w:spacing w:after="160" w:line="259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II –</w:t>
      </w:r>
      <w:r>
        <w:rPr>
          <w:rFonts w:ascii="Times New Roman" w:hAnsi="Times New Roman"/>
          <w:sz w:val="28"/>
          <w:szCs w:val="28"/>
        </w:rPr>
        <w:t xml:space="preserve"> fomentar a educação alimentar e nutricional, promovendo o contato dos estudantes com a terra, as plantas e os processos de produção de alimentos, valorizando práticas sustentáveis;</w:t>
      </w:r>
      <w:r>
        <w:rPr>
          <w:rFonts w:ascii="Times New Roman" w:hAnsi="Times New Roman"/>
          <w:sz w:val="28"/>
          <w:szCs w:val="28"/>
        </w:rPr>
        <w:br/>
      </w:r>
    </w:p>
    <w:p w14:paraId="4365AB3A" w14:textId="77777777" w:rsidR="00445B3C" w:rsidRDefault="00000000">
      <w:pPr>
        <w:spacing w:after="160" w:line="259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III –</w:t>
      </w:r>
      <w:r>
        <w:rPr>
          <w:rFonts w:ascii="Times New Roman" w:hAnsi="Times New Roman"/>
          <w:sz w:val="28"/>
          <w:szCs w:val="28"/>
        </w:rPr>
        <w:t xml:space="preserve"> estimular o uso da horta como recurso pedagógico interdisciplinar;</w:t>
      </w:r>
      <w:r>
        <w:rPr>
          <w:rFonts w:ascii="Times New Roman" w:hAnsi="Times New Roman"/>
          <w:sz w:val="28"/>
          <w:szCs w:val="28"/>
        </w:rPr>
        <w:br/>
      </w:r>
    </w:p>
    <w:p w14:paraId="2E66B2C1" w14:textId="77777777" w:rsidR="00445B3C" w:rsidRDefault="00000000">
      <w:pPr>
        <w:spacing w:after="160" w:line="259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IV –</w:t>
      </w:r>
      <w:r>
        <w:rPr>
          <w:rFonts w:ascii="Times New Roman" w:hAnsi="Times New Roman"/>
          <w:sz w:val="28"/>
          <w:szCs w:val="28"/>
        </w:rPr>
        <w:t xml:space="preserve"> incentivar a formação de hábitos alimentares saudáveis;</w:t>
      </w:r>
      <w:r>
        <w:rPr>
          <w:rFonts w:ascii="Times New Roman" w:hAnsi="Times New Roman"/>
          <w:sz w:val="28"/>
          <w:szCs w:val="28"/>
        </w:rPr>
        <w:br/>
      </w:r>
    </w:p>
    <w:p w14:paraId="34E4520F" w14:textId="77777777" w:rsidR="00445B3C" w:rsidRDefault="00000000">
      <w:pPr>
        <w:spacing w:after="160" w:line="259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V –</w:t>
      </w:r>
      <w:r>
        <w:rPr>
          <w:rFonts w:ascii="Times New Roman" w:hAnsi="Times New Roman"/>
          <w:sz w:val="28"/>
          <w:szCs w:val="28"/>
        </w:rPr>
        <w:t xml:space="preserve"> contribuir para o desenvolvimento de habilidades, aptidões e </w:t>
      </w:r>
      <w:r>
        <w:rPr>
          <w:rFonts w:ascii="Times New Roman" w:hAnsi="Times New Roman"/>
          <w:sz w:val="28"/>
          <w:szCs w:val="28"/>
        </w:rPr>
        <w:lastRenderedPageBreak/>
        <w:t>competências socioemocionais dos estudantes;</w:t>
      </w:r>
      <w:r>
        <w:rPr>
          <w:rFonts w:ascii="Times New Roman" w:hAnsi="Times New Roman"/>
          <w:sz w:val="28"/>
          <w:szCs w:val="28"/>
        </w:rPr>
        <w:br/>
      </w:r>
    </w:p>
    <w:p w14:paraId="362CC8EA" w14:textId="77777777" w:rsidR="00445B3C" w:rsidRDefault="00000000">
      <w:pPr>
        <w:spacing w:after="160" w:line="259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VI –</w:t>
      </w:r>
      <w:r>
        <w:rPr>
          <w:rFonts w:ascii="Times New Roman" w:hAnsi="Times New Roman"/>
          <w:sz w:val="28"/>
          <w:szCs w:val="28"/>
        </w:rPr>
        <w:t xml:space="preserve"> promover, de forma complementar e educativa, a valorização da alimentação escolar.</w:t>
      </w:r>
    </w:p>
    <w:p w14:paraId="6F248D13" w14:textId="77777777" w:rsidR="00445B3C" w:rsidRDefault="00000000">
      <w:pPr>
        <w:spacing w:after="160" w:line="259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Art. 3º -</w:t>
      </w:r>
      <w:r>
        <w:rPr>
          <w:rFonts w:ascii="Times New Roman" w:hAnsi="Times New Roman"/>
          <w:sz w:val="28"/>
          <w:szCs w:val="28"/>
        </w:rPr>
        <w:t xml:space="preserve">  O Poder Executivo poderá, conforme disponibilidade orçamentária, administrativa e técnica, apoiar iniciativas de implantação e manutenção de hortas escolares, inclusive por meio de orientações técnicas, fornecimento de insumos, mudas, sementes e equipamentos, observadas as normas legais e regulamentares aplicáveis.</w:t>
      </w:r>
    </w:p>
    <w:p w14:paraId="68450A76" w14:textId="77777777" w:rsidR="00445B3C" w:rsidRDefault="00000000">
      <w:pPr>
        <w:pStyle w:val="NormalWeb"/>
        <w:spacing w:before="280" w:after="280" w:line="360" w:lineRule="auto"/>
        <w:ind w:firstLine="567"/>
        <w:jc w:val="both"/>
      </w:pPr>
      <w:r>
        <w:rPr>
          <w:rFonts w:eastAsia="DejaVu Sans" w:cs="DejaVu Sans"/>
          <w:b/>
          <w:bCs/>
          <w:kern w:val="2"/>
          <w:sz w:val="28"/>
          <w:szCs w:val="28"/>
        </w:rPr>
        <w:t>Art. 4º -</w:t>
      </w:r>
      <w:r>
        <w:rPr>
          <w:rFonts w:eastAsia="DejaVu Sans" w:cs="DejaVu Sans"/>
          <w:kern w:val="2"/>
          <w:sz w:val="28"/>
          <w:szCs w:val="28"/>
        </w:rPr>
        <w:t xml:space="preserve">  O Município poderá firmar convênios, termos de cooperação ou parcerias com órgãos públicos, entidades do terceiro setor, instituições de ensino superior ou empresas privadas, visando à consecução dos objetivos desta Lei, especialmente para fins de apoio técnico, pedagógico e formativo.</w:t>
      </w:r>
    </w:p>
    <w:p w14:paraId="3BAF34BF" w14:textId="77777777" w:rsidR="00445B3C" w:rsidRDefault="00000000">
      <w:pPr>
        <w:pStyle w:val="NormalWeb"/>
        <w:spacing w:before="280" w:after="280" w:line="360" w:lineRule="auto"/>
        <w:ind w:firstLine="567"/>
        <w:jc w:val="both"/>
      </w:pPr>
      <w:r>
        <w:rPr>
          <w:rFonts w:eastAsia="DejaVu Sans" w:cs="DejaVu Sans"/>
          <w:b/>
          <w:bCs/>
          <w:kern w:val="2"/>
          <w:sz w:val="28"/>
          <w:szCs w:val="28"/>
        </w:rPr>
        <w:t>Art. 5º -</w:t>
      </w:r>
      <w:r>
        <w:rPr>
          <w:rFonts w:eastAsia="DejaVu Sans" w:cs="DejaVu Sans"/>
          <w:kern w:val="2"/>
          <w:sz w:val="28"/>
          <w:szCs w:val="28"/>
        </w:rPr>
        <w:t xml:space="preserve">  As unidades escolares da rede municipal de ensino poderão, conforme suas realidades e projetos pedagógicos, utilizar a horta escolar como recurso didático no processo de ensino-aprendizagem e integrá-la às atividades curriculares e extracurriculares.</w:t>
      </w:r>
    </w:p>
    <w:p w14:paraId="4B876218" w14:textId="77777777" w:rsidR="00445B3C" w:rsidRDefault="00000000">
      <w:pPr>
        <w:pStyle w:val="NormalWeb"/>
        <w:spacing w:before="280" w:after="280" w:line="360" w:lineRule="auto"/>
        <w:ind w:firstLine="567"/>
        <w:jc w:val="both"/>
      </w:pPr>
      <w:r>
        <w:rPr>
          <w:rFonts w:eastAsia="DejaVu Sans" w:cs="DejaVu Sans"/>
          <w:b/>
          <w:bCs/>
          <w:kern w:val="2"/>
          <w:sz w:val="28"/>
          <w:szCs w:val="28"/>
        </w:rPr>
        <w:t>Art. 6º -</w:t>
      </w:r>
      <w:r>
        <w:rPr>
          <w:rFonts w:eastAsia="DejaVu Sans" w:cs="DejaVu Sans"/>
          <w:kern w:val="2"/>
          <w:sz w:val="28"/>
          <w:szCs w:val="28"/>
        </w:rPr>
        <w:t xml:space="preserve">  A participação da comunidade escolar em atividades relacionadas à horta escolar poderá ser incentivada, respeitadas as diretrizes pedagógicas e administrativas definidas pelo Poder Executivo.</w:t>
      </w:r>
    </w:p>
    <w:p w14:paraId="23CB2357" w14:textId="77777777" w:rsidR="00445B3C" w:rsidRDefault="00000000">
      <w:pPr>
        <w:pStyle w:val="NormalWeb"/>
        <w:spacing w:before="280" w:after="280" w:line="360" w:lineRule="auto"/>
        <w:ind w:firstLine="567"/>
        <w:jc w:val="both"/>
      </w:pPr>
      <w:r>
        <w:rPr>
          <w:rFonts w:eastAsia="DejaVu Sans" w:cs="DejaVu Sans"/>
          <w:b/>
          <w:bCs/>
          <w:kern w:val="2"/>
          <w:sz w:val="28"/>
          <w:szCs w:val="28"/>
        </w:rPr>
        <w:t>Art. 7º -</w:t>
      </w:r>
      <w:r>
        <w:rPr>
          <w:rFonts w:eastAsia="DejaVu Sans" w:cs="DejaVu Sans"/>
          <w:kern w:val="2"/>
          <w:sz w:val="28"/>
          <w:szCs w:val="28"/>
        </w:rPr>
        <w:t xml:space="preserve">  As unidades escolares poderão, sempre que tecnicamente viável, destinar espaço físico para atividades relacionadas à horta escolar, observadas as normas de segurança, saúde e acessibilidade.</w:t>
      </w:r>
    </w:p>
    <w:p w14:paraId="4317744E" w14:textId="77777777" w:rsidR="00445B3C" w:rsidRDefault="00000000">
      <w:pPr>
        <w:pStyle w:val="NormalWeb"/>
        <w:spacing w:before="280" w:after="280" w:line="360" w:lineRule="auto"/>
        <w:ind w:firstLine="567"/>
        <w:jc w:val="both"/>
      </w:pPr>
      <w:r>
        <w:rPr>
          <w:rFonts w:eastAsia="DejaVu Sans" w:cs="DejaVu Sans"/>
          <w:b/>
          <w:bCs/>
          <w:kern w:val="2"/>
          <w:sz w:val="28"/>
          <w:szCs w:val="28"/>
        </w:rPr>
        <w:t>Art. 8º -</w:t>
      </w:r>
      <w:r>
        <w:rPr>
          <w:rFonts w:eastAsia="DejaVu Sans" w:cs="DejaVu Sans"/>
          <w:kern w:val="2"/>
          <w:sz w:val="28"/>
          <w:szCs w:val="28"/>
        </w:rPr>
        <w:t xml:space="preserve">  As unidades escolares que não dispuserem de área física adequada poderão buscar, com apoio do Poder Executivo, parcerias com outras </w:t>
      </w:r>
      <w:r>
        <w:rPr>
          <w:rFonts w:eastAsia="DejaVu Sans" w:cs="DejaVu Sans"/>
          <w:kern w:val="2"/>
          <w:sz w:val="28"/>
          <w:szCs w:val="28"/>
        </w:rPr>
        <w:lastRenderedPageBreak/>
        <w:t>instituições públicas ou privadas para viabilizar atividades relacionadas à horta escolar, nos termos da legislação vigente.</w:t>
      </w:r>
    </w:p>
    <w:p w14:paraId="75D5BAE9" w14:textId="77777777" w:rsidR="00445B3C" w:rsidRDefault="00000000">
      <w:pPr>
        <w:pStyle w:val="NormalWeb"/>
        <w:spacing w:before="280" w:after="280" w:line="360" w:lineRule="auto"/>
        <w:ind w:firstLine="567"/>
        <w:jc w:val="both"/>
      </w:pPr>
      <w:r>
        <w:rPr>
          <w:rFonts w:eastAsia="DejaVu Sans" w:cs="DejaVu Sans"/>
          <w:b/>
          <w:bCs/>
          <w:kern w:val="2"/>
          <w:sz w:val="28"/>
          <w:szCs w:val="28"/>
        </w:rPr>
        <w:t>Art. 9º -</w:t>
      </w:r>
      <w:r>
        <w:rPr>
          <w:rFonts w:eastAsia="DejaVu Sans" w:cs="DejaVu Sans"/>
          <w:kern w:val="2"/>
          <w:sz w:val="28"/>
          <w:szCs w:val="28"/>
        </w:rPr>
        <w:t xml:space="preserve">  O Poder Executivo poderá regulamentar esta Lei, no que couber.</w:t>
      </w:r>
    </w:p>
    <w:p w14:paraId="23707009" w14:textId="77777777" w:rsidR="00445B3C" w:rsidRDefault="00000000">
      <w:pPr>
        <w:spacing w:after="160" w:line="259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Art. 10º -</w:t>
      </w:r>
      <w:r>
        <w:rPr>
          <w:rFonts w:ascii="Times New Roman" w:hAnsi="Times New Roman"/>
          <w:sz w:val="28"/>
          <w:szCs w:val="28"/>
        </w:rPr>
        <w:t xml:space="preserve">  As despesas decorrentes da eventual execução desta Lei correrão por conta de dotações orçamentárias próprias, consignadas no orçamento vigente, observada a legislação aplicável.</w:t>
      </w:r>
    </w:p>
    <w:p w14:paraId="2B86D89F" w14:textId="77777777" w:rsidR="00445B3C" w:rsidRDefault="00000000">
      <w:pPr>
        <w:pStyle w:val="NormalWeb"/>
        <w:spacing w:before="280" w:after="280" w:line="360" w:lineRule="auto"/>
        <w:ind w:firstLine="567"/>
        <w:jc w:val="both"/>
      </w:pPr>
      <w:r>
        <w:rPr>
          <w:rFonts w:eastAsia="DejaVu Sans" w:cs="DejaVu Sans"/>
          <w:b/>
          <w:bCs/>
          <w:kern w:val="2"/>
          <w:sz w:val="28"/>
          <w:szCs w:val="28"/>
        </w:rPr>
        <w:t>Art. 11 -</w:t>
      </w:r>
      <w:r>
        <w:rPr>
          <w:rFonts w:eastAsia="DejaVu Sans" w:cs="DejaVu Sans"/>
          <w:kern w:val="2"/>
          <w:sz w:val="28"/>
          <w:szCs w:val="28"/>
        </w:rPr>
        <w:t xml:space="preserve">  Esta Lei entra em vigor na data de sua publicação.</w:t>
      </w:r>
    </w:p>
    <w:p w14:paraId="6F310CF2" w14:textId="77777777" w:rsidR="00445B3C" w:rsidRDefault="00445B3C">
      <w:pPr>
        <w:pStyle w:val="NormalWeb"/>
        <w:spacing w:before="280" w:after="280" w:line="360" w:lineRule="auto"/>
        <w:ind w:firstLine="567"/>
        <w:rPr>
          <w:rFonts w:eastAsia="DejaVu Sans" w:cs="DejaVu Sans"/>
          <w:kern w:val="2"/>
          <w:sz w:val="28"/>
          <w:szCs w:val="28"/>
        </w:rPr>
      </w:pPr>
    </w:p>
    <w:p w14:paraId="47CAA12A" w14:textId="77777777" w:rsidR="00445B3C" w:rsidRDefault="00445B3C">
      <w:pPr>
        <w:tabs>
          <w:tab w:val="left" w:pos="2694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4395AED6" w14:textId="77777777" w:rsidR="00445B3C" w:rsidRDefault="0000000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ab/>
        <w:t>Plenário Vereador Guilherme Gotelip Neto em 03 de março de 2026.</w:t>
      </w:r>
    </w:p>
    <w:p w14:paraId="606114C4" w14:textId="77777777" w:rsidR="00445B3C" w:rsidRDefault="00445B3C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14:paraId="076698EB" w14:textId="77777777" w:rsidR="00445B3C" w:rsidRDefault="00000000">
      <w:pPr>
        <w:tabs>
          <w:tab w:val="left" w:pos="2694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>Raphael Rios de Oliveira</w:t>
      </w:r>
    </w:p>
    <w:p w14:paraId="06053090" w14:textId="77777777" w:rsidR="00445B3C" w:rsidRDefault="00000000">
      <w:pPr>
        <w:tabs>
          <w:tab w:val="left" w:pos="2694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>Presidente da Câmara Municipal de Araxá</w:t>
      </w:r>
    </w:p>
    <w:p w14:paraId="1024B8D7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6BD3D03E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37E8C6F2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78250575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3F4F47A6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5F7C85BE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4723AD14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3EB3B70D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0F823EF3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12B59FDC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5CC27B82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2C091A19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743AEBD3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1375E714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2D2EB39F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73ADADEE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68F67520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51F83B98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3B13106F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656A4079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38384D1B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62F2D4E8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18DEA8CB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30FE256D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20EE8A7C" w14:textId="77777777" w:rsidR="00445B3C" w:rsidRDefault="00445B3C">
      <w:pPr>
        <w:rPr>
          <w:rFonts w:ascii="Times New Roman" w:hAnsi="Times New Roman"/>
          <w:sz w:val="28"/>
          <w:szCs w:val="28"/>
        </w:rPr>
      </w:pPr>
    </w:p>
    <w:p w14:paraId="7A438040" w14:textId="77777777" w:rsidR="00445B3C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JUSTIFICATIVA</w:t>
      </w:r>
    </w:p>
    <w:p w14:paraId="0A9C02DA" w14:textId="77777777" w:rsidR="00445B3C" w:rsidRDefault="00445B3C">
      <w:pPr>
        <w:rPr>
          <w:rFonts w:ascii="Times New Roman" w:hAnsi="Times New Roman"/>
          <w:b/>
          <w:bCs/>
          <w:sz w:val="28"/>
          <w:szCs w:val="28"/>
        </w:rPr>
      </w:pPr>
    </w:p>
    <w:p w14:paraId="1E261261" w14:textId="77777777" w:rsidR="00445B3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O presente Projeto de Lei tem por finalidade instituir diretrizes para a implementação do Programa “Horta Escolar” nas unidades da rede municipal de ensino de Araxá, como instrumento de promoção da educação ambiental, da segurança alimentar e  educação nutricional, do aprendizado interdisciplinar e da formação cidadã dos estudantes.</w:t>
      </w:r>
    </w:p>
    <w:p w14:paraId="359BDB05" w14:textId="77777777" w:rsidR="00445B3C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texto foi ajustado para respeitar a autonomia do Executivo, sem criar obrigações administrativas ou despesas obrigatórias, garantindo segurança jurídica.</w:t>
      </w:r>
    </w:p>
    <w:p w14:paraId="372E291B" w14:textId="77777777" w:rsidR="00445B3C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Diante do exposto, entende-se que a proposta contribui para o fortalecimento das políticas educacionais e ambientais do Município, sem afrontar a ordem constitucional, razão pela qual se submete o presente Projeto de Lei à apreciação dos nobres Vereadores, esperando-se a sua aprovação.</w:t>
      </w:r>
    </w:p>
    <w:p w14:paraId="00EBC5EE" w14:textId="77777777" w:rsidR="00445B3C" w:rsidRDefault="00445B3C">
      <w:pPr>
        <w:jc w:val="both"/>
        <w:rPr>
          <w:rFonts w:ascii="Times New Roman" w:hAnsi="Times New Roman"/>
          <w:sz w:val="28"/>
          <w:szCs w:val="28"/>
        </w:rPr>
      </w:pPr>
    </w:p>
    <w:p w14:paraId="7014FC1F" w14:textId="77777777" w:rsidR="00445B3C" w:rsidRDefault="00445B3C">
      <w:pPr>
        <w:jc w:val="both"/>
        <w:rPr>
          <w:rFonts w:ascii="Times New Roman" w:hAnsi="Times New Roman"/>
          <w:sz w:val="28"/>
          <w:szCs w:val="28"/>
        </w:rPr>
      </w:pPr>
    </w:p>
    <w:p w14:paraId="70192819" w14:textId="77777777" w:rsidR="00445B3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Raphael Rios de Oliveira</w:t>
      </w:r>
    </w:p>
    <w:p w14:paraId="10242F9C" w14:textId="77777777" w:rsidR="00445B3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Vereador</w:t>
      </w:r>
    </w:p>
    <w:p w14:paraId="57433622" w14:textId="77777777" w:rsidR="00445B3C" w:rsidRDefault="00445B3C">
      <w:pPr>
        <w:jc w:val="both"/>
        <w:rPr>
          <w:rFonts w:ascii="Times New Roman" w:hAnsi="Times New Roman"/>
          <w:sz w:val="28"/>
          <w:szCs w:val="28"/>
        </w:rPr>
      </w:pPr>
    </w:p>
    <w:sectPr w:rsidR="00445B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65" w:bottom="1417" w:left="1701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0932" w14:textId="77777777" w:rsidR="00B316D3" w:rsidRDefault="00B316D3">
      <w:r>
        <w:separator/>
      </w:r>
    </w:p>
  </w:endnote>
  <w:endnote w:type="continuationSeparator" w:id="0">
    <w:p w14:paraId="013FB575" w14:textId="77777777" w:rsidR="00B316D3" w:rsidRDefault="00B3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DejaVu Sans">
    <w:altName w:val="SimSu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C8FA" w14:textId="77777777" w:rsidR="00445B3C" w:rsidRDefault="00445B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0B5A" w14:textId="77777777" w:rsidR="00445B3C" w:rsidRDefault="00445B3C">
    <w:pPr>
      <w:pStyle w:val="Rodap1"/>
      <w:jc w:val="left"/>
      <w:rPr>
        <w:rFonts w:ascii="Verdana" w:hAnsi="Verdana"/>
        <w:sz w:val="16"/>
        <w:szCs w:val="16"/>
      </w:rPr>
    </w:pPr>
  </w:p>
  <w:p w14:paraId="48B93996" w14:textId="77777777" w:rsidR="00445B3C" w:rsidRDefault="00445B3C">
    <w:pPr>
      <w:pStyle w:val="Linhahorizontal"/>
      <w:rPr>
        <w:sz w:val="16"/>
        <w:szCs w:val="16"/>
      </w:rPr>
    </w:pPr>
  </w:p>
  <w:p w14:paraId="04E30AAF" w14:textId="77777777" w:rsidR="00445B3C" w:rsidRDefault="00000000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151D913A" w14:textId="77777777" w:rsidR="00445B3C" w:rsidRDefault="00000000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2A5913A5" w14:textId="77777777" w:rsidR="00445B3C" w:rsidRDefault="00445B3C">
    <w:pPr>
      <w:pStyle w:val="Rodap1"/>
      <w:rPr>
        <w:rFonts w:ascii="Times New Roman" w:hAnsi="Times New Roman" w:cs="Times New Roman"/>
        <w:sz w:val="22"/>
        <w:szCs w:val="22"/>
      </w:rPr>
    </w:pPr>
    <w:hyperlink r:id="rId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8453" w14:textId="77777777" w:rsidR="00445B3C" w:rsidRDefault="00445B3C">
    <w:pPr>
      <w:pStyle w:val="Rodap1"/>
      <w:jc w:val="left"/>
      <w:rPr>
        <w:rFonts w:ascii="Verdana" w:hAnsi="Verdana"/>
        <w:sz w:val="16"/>
        <w:szCs w:val="16"/>
      </w:rPr>
    </w:pPr>
  </w:p>
  <w:p w14:paraId="5F0B54FE" w14:textId="77777777" w:rsidR="00445B3C" w:rsidRDefault="00445B3C">
    <w:pPr>
      <w:pStyle w:val="Linhahorizontal"/>
      <w:rPr>
        <w:sz w:val="16"/>
        <w:szCs w:val="16"/>
      </w:rPr>
    </w:pPr>
  </w:p>
  <w:p w14:paraId="50C8833E" w14:textId="77777777" w:rsidR="00445B3C" w:rsidRDefault="00000000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375FBBBD" w14:textId="77777777" w:rsidR="00445B3C" w:rsidRDefault="00000000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6EB20FCF" w14:textId="77777777" w:rsidR="00445B3C" w:rsidRDefault="00445B3C">
    <w:pPr>
      <w:pStyle w:val="Rodap1"/>
      <w:rPr>
        <w:rFonts w:ascii="Times New Roman" w:hAnsi="Times New Roman" w:cs="Times New Roman"/>
        <w:sz w:val="22"/>
        <w:szCs w:val="22"/>
      </w:rPr>
    </w:pPr>
    <w:hyperlink r:id="rId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4316" w14:textId="77777777" w:rsidR="00B316D3" w:rsidRDefault="00B316D3">
      <w:r>
        <w:separator/>
      </w:r>
    </w:p>
  </w:footnote>
  <w:footnote w:type="continuationSeparator" w:id="0">
    <w:p w14:paraId="33FB39FE" w14:textId="77777777" w:rsidR="00B316D3" w:rsidRDefault="00B3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F4A6" w14:textId="77777777" w:rsidR="00445B3C" w:rsidRDefault="0000000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4D28A536" wp14:editId="2B56D8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43575" cy="4930140"/>
              <wp:effectExtent l="0" t="0" r="0" b="0"/>
              <wp:wrapNone/>
              <wp:docPr id="1" name="WordPictureWatermark58329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5832925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743440" cy="493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pic="http://schemas.openxmlformats.org/drawingml/2006/picture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832925" o:spid="shape_0" stroked="f" o:allowincell="f" style="position:absolute;margin-left:0.05pt;margin-top:0pt;width:452.2pt;height:388.1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BB27" w14:textId="77777777" w:rsidR="00445B3C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3DB94582" wp14:editId="07AC4E6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43575" cy="4930140"/>
              <wp:effectExtent l="0" t="0" r="0" b="0"/>
              <wp:wrapNone/>
              <wp:docPr id="3" name="WordPictureWatermark58329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5832926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743440" cy="493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pic="http://schemas.openxmlformats.org/drawingml/2006/picture">
          <w:pict>
            <v:shape id="WordPictureWatermark5832926" o:spid="shape_0" stroked="f" o:allowincell="f" style="position:absolute;margin-left:-7.65pt;margin-top:137.5pt;width:452.2pt;height:388.1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44BC" w14:textId="77777777" w:rsidR="00445B3C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84814B6" wp14:editId="004F87C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43575" cy="4930140"/>
              <wp:effectExtent l="0" t="0" r="0" b="0"/>
              <wp:wrapNone/>
              <wp:docPr id="5" name="WordPictureWatermark58329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WordPictureWatermark5832926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743440" cy="493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pic="http://schemas.openxmlformats.org/drawingml/2006/picture">
          <w:pict>
            <v:shape id="WordPictureWatermark5832926" o:spid="shape_0" stroked="f" o:allowincell="f" style="position:absolute;margin-left:-7.65pt;margin-top:137.5pt;width:452.2pt;height:388.1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C"/>
    <w:rsid w:val="000630DF"/>
    <w:rsid w:val="003D5406"/>
    <w:rsid w:val="00445B3C"/>
    <w:rsid w:val="0083715C"/>
    <w:rsid w:val="00B316D3"/>
    <w:rsid w:val="00B55A22"/>
    <w:rsid w:val="00B641F4"/>
    <w:rsid w:val="00D37476"/>
    <w:rsid w:val="00E74D9D"/>
    <w:rsid w:val="00F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80D8"/>
  <w15:docId w15:val="{FAC8A43A-06F1-4361-BF9B-2E30E393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E5"/>
    <w:pPr>
      <w:widowControl w:val="0"/>
      <w:textAlignment w:val="baseline"/>
    </w:pPr>
    <w:rPr>
      <w:rFonts w:ascii="Times" w:eastAsia="DejaVu Sans" w:hAnsi="Times" w:cs="DejaVu Sans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5AE5"/>
    <w:pPr>
      <w:keepNext/>
      <w:keepLines/>
      <w:widowControl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5AE5"/>
    <w:pPr>
      <w:keepNext/>
      <w:keepLines/>
      <w:widowControl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5AE5"/>
    <w:pPr>
      <w:keepNext/>
      <w:keepLines/>
      <w:widowControl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5AE5"/>
    <w:pPr>
      <w:keepNext/>
      <w:keepLines/>
      <w:widowControl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5AE5"/>
    <w:pPr>
      <w:keepNext/>
      <w:keepLines/>
      <w:widowControl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5AE5"/>
    <w:pPr>
      <w:keepNext/>
      <w:keepLines/>
      <w:widowControl/>
      <w:suppressAutoHyphens w:val="0"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5AE5"/>
    <w:pPr>
      <w:keepNext/>
      <w:keepLines/>
      <w:widowControl/>
      <w:suppressAutoHyphens w:val="0"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5AE5"/>
    <w:pPr>
      <w:keepNext/>
      <w:keepLines/>
      <w:widowControl/>
      <w:suppressAutoHyphens w:val="0"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5AE5"/>
    <w:pPr>
      <w:keepNext/>
      <w:keepLines/>
      <w:widowControl/>
      <w:suppressAutoHyphens w:val="0"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A5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7A5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7A5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7A5A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7A5A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7A5A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7A5A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7A5A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7A5AE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A5AE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A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A5AE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A5AE5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A5AE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5AE5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7A5AE5"/>
    <w:rPr>
      <w:rFonts w:ascii="Times" w:eastAsia="DejaVu Sans" w:hAnsi="Times" w:cs="DejaVu Sans"/>
      <w:kern w:val="2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qFormat/>
    <w:rsid w:val="007A5AE5"/>
  </w:style>
  <w:style w:type="character" w:styleId="Hyperlink">
    <w:name w:val="Hyperlink"/>
    <w:uiPriority w:val="99"/>
    <w:unhideWhenUsed/>
    <w:rsid w:val="007A5AE5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7A5AE5"/>
    <w:pPr>
      <w:widowControl/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5AE5"/>
    <w:pPr>
      <w:widowControl/>
      <w:suppressAutoHyphens w:val="0"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7A5AE5"/>
    <w:pPr>
      <w:widowControl/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7A5AE5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5AE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customStyle="1" w:styleId="Cabealho1">
    <w:name w:val="Cabeçalho1"/>
    <w:basedOn w:val="Normal"/>
    <w:qFormat/>
    <w:rsid w:val="007A5AE5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qFormat/>
    <w:rsid w:val="007A5AE5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Linhahorizontal">
    <w:name w:val="Linha horizontal"/>
    <w:basedOn w:val="Normal"/>
    <w:next w:val="Normal"/>
    <w:qFormat/>
    <w:rsid w:val="007A5AE5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semiHidden/>
    <w:unhideWhenUsed/>
    <w:rsid w:val="007A5AE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7A5AE5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dc:description/>
  <cp:lastModifiedBy>Cintia Alves</cp:lastModifiedBy>
  <cp:revision>4</cp:revision>
  <dcterms:created xsi:type="dcterms:W3CDTF">2026-03-05T20:47:00Z</dcterms:created>
  <dcterms:modified xsi:type="dcterms:W3CDTF">2026-03-05T20:56:00Z</dcterms:modified>
  <dc:language>pt-BR</dc:language>
</cp:coreProperties>
</file>