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69D10" w14:textId="77777777" w:rsidR="00127503" w:rsidRPr="00127503" w:rsidRDefault="00127503" w:rsidP="00127503">
      <w:pPr>
        <w:jc w:val="center"/>
        <w:rPr>
          <w:rFonts w:cs="Times"/>
          <w:b/>
          <w:bCs/>
          <w:sz w:val="26"/>
          <w:szCs w:val="26"/>
        </w:rPr>
      </w:pPr>
    </w:p>
    <w:p w14:paraId="257424B0" w14:textId="0238D852" w:rsidR="00127503" w:rsidRPr="00127503" w:rsidRDefault="00127503" w:rsidP="00127503">
      <w:pPr>
        <w:jc w:val="center"/>
        <w:rPr>
          <w:rFonts w:cs="Times"/>
          <w:b/>
          <w:bCs/>
          <w:sz w:val="26"/>
          <w:szCs w:val="26"/>
        </w:rPr>
      </w:pPr>
      <w:r w:rsidRPr="00127503">
        <w:rPr>
          <w:rFonts w:cs="Times"/>
          <w:b/>
          <w:bCs/>
          <w:sz w:val="26"/>
          <w:szCs w:val="26"/>
        </w:rPr>
        <w:t>SUBSTITUTIVO AO PROJETO DE LEI  Nº  23 / 2026</w:t>
      </w:r>
    </w:p>
    <w:p w14:paraId="73B03E6A" w14:textId="77777777" w:rsidR="00127503" w:rsidRPr="00127503" w:rsidRDefault="00127503" w:rsidP="00127503">
      <w:pPr>
        <w:jc w:val="center"/>
        <w:rPr>
          <w:rFonts w:cs="Times"/>
          <w:b/>
          <w:bCs/>
          <w:sz w:val="26"/>
          <w:szCs w:val="26"/>
        </w:rPr>
      </w:pPr>
    </w:p>
    <w:p w14:paraId="4B57577A" w14:textId="77777777" w:rsidR="00127503" w:rsidRPr="00127503" w:rsidRDefault="00127503" w:rsidP="00127503">
      <w:pPr>
        <w:jc w:val="both"/>
        <w:rPr>
          <w:rFonts w:cs="Times"/>
          <w:sz w:val="26"/>
          <w:szCs w:val="26"/>
        </w:rPr>
      </w:pPr>
    </w:p>
    <w:p w14:paraId="70C3BD9B" w14:textId="77777777" w:rsidR="00127503" w:rsidRPr="00127503" w:rsidRDefault="00127503" w:rsidP="00127503">
      <w:pPr>
        <w:jc w:val="both"/>
        <w:rPr>
          <w:rFonts w:cs="Times"/>
          <w:sz w:val="26"/>
          <w:szCs w:val="26"/>
        </w:rPr>
      </w:pPr>
    </w:p>
    <w:p w14:paraId="204DDECB" w14:textId="78817D6D" w:rsidR="00127503" w:rsidRPr="00127503" w:rsidRDefault="00127503" w:rsidP="00127503">
      <w:pPr>
        <w:widowControl/>
        <w:suppressAutoHyphens w:val="0"/>
        <w:autoSpaceDN/>
        <w:spacing w:after="160" w:line="278" w:lineRule="auto"/>
        <w:ind w:left="3540"/>
        <w:jc w:val="both"/>
        <w:textAlignment w:val="auto"/>
        <w:rPr>
          <w:rFonts w:cs="Times"/>
          <w:sz w:val="26"/>
          <w:szCs w:val="26"/>
        </w:rPr>
      </w:pPr>
      <w:r w:rsidRPr="00127503">
        <w:rPr>
          <w:rFonts w:eastAsia="Calibri" w:cs="Times"/>
          <w:b/>
          <w:bCs/>
          <w:kern w:val="2"/>
          <w:sz w:val="26"/>
          <w:szCs w:val="26"/>
          <w:lang w:eastAsia="en-US"/>
        </w:rPr>
        <w:t>Institui  a Semana Municipal de Conscientização sobre Educação Financeira na rede pública municipal de ensino em Araxá .</w:t>
      </w:r>
    </w:p>
    <w:p w14:paraId="6668D268" w14:textId="77777777" w:rsidR="00127503" w:rsidRPr="00127503" w:rsidRDefault="00127503" w:rsidP="00127503">
      <w:pPr>
        <w:jc w:val="both"/>
        <w:rPr>
          <w:rFonts w:cs="Times"/>
          <w:sz w:val="26"/>
          <w:szCs w:val="26"/>
        </w:rPr>
      </w:pPr>
    </w:p>
    <w:p w14:paraId="5E5CD69E" w14:textId="77777777" w:rsidR="00127503" w:rsidRPr="00127503" w:rsidRDefault="00127503" w:rsidP="00127503">
      <w:pPr>
        <w:jc w:val="both"/>
        <w:rPr>
          <w:rFonts w:cs="Times"/>
          <w:sz w:val="26"/>
          <w:szCs w:val="26"/>
        </w:rPr>
      </w:pPr>
    </w:p>
    <w:p w14:paraId="2AA24863" w14:textId="77777777" w:rsidR="00127503" w:rsidRPr="00127503" w:rsidRDefault="00127503" w:rsidP="00127503">
      <w:pPr>
        <w:ind w:firstLine="708"/>
        <w:jc w:val="both"/>
        <w:rPr>
          <w:rFonts w:cs="Times"/>
          <w:sz w:val="26"/>
          <w:szCs w:val="26"/>
        </w:rPr>
      </w:pPr>
      <w:r w:rsidRPr="00127503">
        <w:rPr>
          <w:rFonts w:cs="Times"/>
          <w:sz w:val="26"/>
          <w:szCs w:val="26"/>
        </w:rPr>
        <w:t xml:space="preserve">A </w:t>
      </w:r>
      <w:r w:rsidRPr="00127503">
        <w:rPr>
          <w:rFonts w:cs="Times"/>
          <w:b/>
          <w:bCs/>
          <w:sz w:val="26"/>
          <w:szCs w:val="26"/>
        </w:rPr>
        <w:t>Câmara Municipal de Araxá</w:t>
      </w:r>
      <w:r w:rsidRPr="00127503">
        <w:rPr>
          <w:rFonts w:cs="Times"/>
          <w:sz w:val="26"/>
          <w:szCs w:val="26"/>
        </w:rPr>
        <w:t xml:space="preserve">, por iniciativa do vereador </w:t>
      </w:r>
      <w:r w:rsidRPr="00127503">
        <w:rPr>
          <w:rFonts w:cs="Times"/>
          <w:b/>
          <w:bCs/>
          <w:sz w:val="26"/>
          <w:szCs w:val="26"/>
        </w:rPr>
        <w:t>Ricardo Alexandre da Silva</w:t>
      </w:r>
      <w:r w:rsidRPr="00127503">
        <w:rPr>
          <w:rFonts w:cs="Times"/>
          <w:sz w:val="26"/>
          <w:szCs w:val="26"/>
        </w:rPr>
        <w:t xml:space="preserve"> com a Graça de Deus, aprova e eu, Prefeito, sanciono e promulgo a seguinte Lei:</w:t>
      </w:r>
    </w:p>
    <w:p w14:paraId="2EBFC167" w14:textId="77777777" w:rsidR="00127503" w:rsidRPr="00127503" w:rsidRDefault="00127503" w:rsidP="00127503">
      <w:pPr>
        <w:jc w:val="both"/>
        <w:rPr>
          <w:rFonts w:cs="Times"/>
          <w:sz w:val="26"/>
          <w:szCs w:val="26"/>
        </w:rPr>
      </w:pPr>
    </w:p>
    <w:p w14:paraId="0D6B522E" w14:textId="77777777" w:rsidR="00127503" w:rsidRPr="00127503" w:rsidRDefault="00127503" w:rsidP="00127503">
      <w:pPr>
        <w:jc w:val="both"/>
        <w:rPr>
          <w:rFonts w:cs="Times"/>
          <w:sz w:val="26"/>
          <w:szCs w:val="26"/>
        </w:rPr>
      </w:pPr>
    </w:p>
    <w:p w14:paraId="693C664E" w14:textId="0ABB831D" w:rsidR="00127503" w:rsidRPr="00127503" w:rsidRDefault="00127503" w:rsidP="00127503">
      <w:pPr>
        <w:widowControl/>
        <w:suppressAutoHyphens w:val="0"/>
        <w:autoSpaceDN/>
        <w:spacing w:after="160" w:line="278" w:lineRule="auto"/>
        <w:jc w:val="both"/>
        <w:textAlignment w:val="auto"/>
        <w:rPr>
          <w:rFonts w:eastAsia="Calibri" w:cs="Times"/>
          <w:kern w:val="2"/>
          <w:sz w:val="26"/>
          <w:szCs w:val="26"/>
          <w:lang w:eastAsia="en-US"/>
        </w:rPr>
      </w:pPr>
      <w:r w:rsidRPr="00127503">
        <w:rPr>
          <w:rFonts w:eastAsia="Calibri" w:cs="Times"/>
          <w:b/>
          <w:bCs/>
          <w:kern w:val="2"/>
          <w:sz w:val="26"/>
          <w:szCs w:val="26"/>
          <w:lang w:eastAsia="en-US"/>
        </w:rPr>
        <w:t>Art 1º</w:t>
      </w:r>
      <w:r w:rsidRPr="00127503">
        <w:rPr>
          <w:rFonts w:eastAsia="Calibri" w:cs="Times"/>
          <w:kern w:val="2"/>
          <w:sz w:val="26"/>
          <w:szCs w:val="26"/>
          <w:lang w:eastAsia="en-US"/>
        </w:rPr>
        <w:t xml:space="preserve"> - Fica instituído, no âmbito do Município de Araxá, a semana municipal de Conscientização sobre Educação Financeira nas Escolas Municipais de Araxá e EJA da rede pública municipal, a ser realizada, anualmente, na 3ª ( terceira ) semana do  mês de setembro de cada ano</w:t>
      </w:r>
    </w:p>
    <w:p w14:paraId="4D2DB5FF" w14:textId="13239F43" w:rsidR="00127503" w:rsidRPr="00127503" w:rsidRDefault="00127503" w:rsidP="00127503">
      <w:pPr>
        <w:widowControl/>
        <w:suppressAutoHyphens w:val="0"/>
        <w:autoSpaceDN/>
        <w:spacing w:after="160" w:line="278" w:lineRule="auto"/>
        <w:jc w:val="both"/>
        <w:textAlignment w:val="auto"/>
        <w:rPr>
          <w:rFonts w:eastAsia="Calibri" w:cs="Times"/>
          <w:kern w:val="2"/>
          <w:sz w:val="26"/>
          <w:szCs w:val="26"/>
          <w:lang w:eastAsia="en-US"/>
        </w:rPr>
      </w:pPr>
      <w:r w:rsidRPr="00127503">
        <w:rPr>
          <w:rFonts w:eastAsia="Calibri" w:cs="Times"/>
          <w:b/>
          <w:bCs/>
          <w:kern w:val="2"/>
          <w:sz w:val="26"/>
          <w:szCs w:val="26"/>
          <w:lang w:eastAsia="en-US"/>
        </w:rPr>
        <w:t>§ 1º-</w:t>
      </w:r>
      <w:r w:rsidRPr="00127503">
        <w:rPr>
          <w:rFonts w:eastAsia="Calibri" w:cs="Times"/>
          <w:b/>
          <w:bCs/>
          <w:kern w:val="2"/>
          <w:sz w:val="26"/>
          <w:szCs w:val="26"/>
          <w:lang w:eastAsia="en-US"/>
        </w:rPr>
        <w:tab/>
      </w:r>
      <w:r w:rsidRPr="00127503">
        <w:rPr>
          <w:rFonts w:eastAsia="Calibri" w:cs="Times"/>
          <w:kern w:val="2"/>
          <w:sz w:val="26"/>
          <w:szCs w:val="26"/>
          <w:lang w:eastAsia="en-US"/>
        </w:rPr>
        <w:t xml:space="preserve">O estudo do tema deverá ser implementado nas turmas do Ensino Fundamental de Educação Integral em Tempo Integral e </w:t>
      </w:r>
      <w:r w:rsidR="003B6DAB">
        <w:rPr>
          <w:rFonts w:eastAsia="Calibri" w:cs="Times"/>
          <w:kern w:val="2"/>
          <w:sz w:val="26"/>
          <w:szCs w:val="26"/>
          <w:lang w:eastAsia="en-US"/>
        </w:rPr>
        <w:t>n</w:t>
      </w:r>
      <w:r w:rsidRPr="00127503">
        <w:rPr>
          <w:rFonts w:eastAsia="Calibri" w:cs="Times"/>
          <w:kern w:val="2"/>
          <w:sz w:val="26"/>
          <w:szCs w:val="26"/>
          <w:lang w:eastAsia="en-US"/>
        </w:rPr>
        <w:t>a Educação de Jovens e Adultos – EJA.</w:t>
      </w:r>
    </w:p>
    <w:p w14:paraId="6DABD48C" w14:textId="13A9B8A6" w:rsidR="00127503" w:rsidRPr="00127503" w:rsidRDefault="00127503" w:rsidP="00127503">
      <w:pPr>
        <w:widowControl/>
        <w:suppressAutoHyphens w:val="0"/>
        <w:autoSpaceDN/>
        <w:spacing w:after="160" w:line="278" w:lineRule="auto"/>
        <w:jc w:val="both"/>
        <w:textAlignment w:val="auto"/>
        <w:rPr>
          <w:rFonts w:eastAsia="Calibri" w:cs="Times"/>
          <w:kern w:val="2"/>
          <w:sz w:val="26"/>
          <w:szCs w:val="26"/>
          <w:lang w:eastAsia="en-US"/>
        </w:rPr>
      </w:pPr>
      <w:r w:rsidRPr="00127503">
        <w:rPr>
          <w:rFonts w:eastAsia="Calibri" w:cs="Times"/>
          <w:b/>
          <w:bCs/>
          <w:kern w:val="2"/>
          <w:sz w:val="26"/>
          <w:szCs w:val="26"/>
          <w:lang w:eastAsia="en-US"/>
        </w:rPr>
        <w:t>Art.2º</w:t>
      </w:r>
      <w:r w:rsidRPr="00127503">
        <w:rPr>
          <w:rFonts w:eastAsia="Calibri" w:cs="Times"/>
          <w:kern w:val="2"/>
          <w:sz w:val="26"/>
          <w:szCs w:val="26"/>
          <w:lang w:eastAsia="en-US"/>
        </w:rPr>
        <w:t xml:space="preserve"> A Semana de Conscientização sobre Educação Financeira tem como objetivo transmitir conceitos básicos de educação financeira para os alunos das Escolas Municipais de  Araxá que oferecem a Educação Integral em tempo Integral e na Educação de Jovens e Adultos – EJA, da Rede Pública Municipal, por meio de conteúdo prático, lúdico e interativo, tendo como diretrizes:</w:t>
      </w:r>
    </w:p>
    <w:p w14:paraId="7405E1B0" w14:textId="1171C12F" w:rsidR="00127503" w:rsidRPr="00127503" w:rsidRDefault="00127503" w:rsidP="00127503">
      <w:pPr>
        <w:widowControl/>
        <w:suppressAutoHyphens w:val="0"/>
        <w:autoSpaceDN/>
        <w:spacing w:after="160" w:line="278" w:lineRule="auto"/>
        <w:jc w:val="both"/>
        <w:textAlignment w:val="auto"/>
        <w:rPr>
          <w:rFonts w:eastAsia="Calibri" w:cs="Times"/>
          <w:kern w:val="2"/>
          <w:sz w:val="26"/>
          <w:szCs w:val="26"/>
          <w:lang w:eastAsia="en-US"/>
        </w:rPr>
      </w:pPr>
      <w:r w:rsidRPr="00127503">
        <w:rPr>
          <w:rFonts w:eastAsia="Calibri" w:cs="Times"/>
          <w:b/>
          <w:bCs/>
          <w:kern w:val="2"/>
          <w:sz w:val="26"/>
          <w:szCs w:val="26"/>
          <w:lang w:eastAsia="en-US"/>
        </w:rPr>
        <w:t>l-</w:t>
      </w:r>
      <w:r w:rsidRPr="00127503">
        <w:rPr>
          <w:rFonts w:eastAsia="Calibri" w:cs="Times"/>
          <w:kern w:val="2"/>
          <w:sz w:val="26"/>
          <w:szCs w:val="26"/>
          <w:lang w:eastAsia="en-US"/>
        </w:rPr>
        <w:t xml:space="preserve"> Introdução aos conceitos de finanças pessoais, classificação de receitas e despesas, montagem de orçamento familiar, balanço positivo e negativo e suas consequências, reconhecimento dos diferentes meios de pagamento (dinheiro, cheque, pix, cartões de débito e crédito);</w:t>
      </w:r>
    </w:p>
    <w:p w14:paraId="20B00D42" w14:textId="77777777" w:rsidR="00127503" w:rsidRPr="00127503" w:rsidRDefault="00127503" w:rsidP="00127503">
      <w:pPr>
        <w:widowControl/>
        <w:suppressAutoHyphens w:val="0"/>
        <w:autoSpaceDN/>
        <w:spacing w:after="160" w:line="278" w:lineRule="auto"/>
        <w:jc w:val="both"/>
        <w:textAlignment w:val="auto"/>
        <w:rPr>
          <w:rFonts w:eastAsia="Calibri" w:cs="Times"/>
          <w:kern w:val="2"/>
          <w:sz w:val="26"/>
          <w:szCs w:val="26"/>
          <w:lang w:eastAsia="en-US"/>
        </w:rPr>
      </w:pPr>
      <w:r w:rsidRPr="00127503">
        <w:rPr>
          <w:rFonts w:eastAsia="Calibri" w:cs="Times"/>
          <w:b/>
          <w:bCs/>
          <w:kern w:val="2"/>
          <w:sz w:val="26"/>
          <w:szCs w:val="26"/>
          <w:lang w:eastAsia="en-US"/>
        </w:rPr>
        <w:t>ll -</w:t>
      </w:r>
      <w:r w:rsidRPr="00127503">
        <w:rPr>
          <w:rFonts w:eastAsia="Calibri" w:cs="Times"/>
          <w:kern w:val="2"/>
          <w:sz w:val="26"/>
          <w:szCs w:val="26"/>
          <w:lang w:eastAsia="en-US"/>
        </w:rPr>
        <w:t xml:space="preserve"> Difusão de princípios como consumo e descarte consciente, uso responsável do crédito, importância da poupança para o futuro e da formação de patrimônio por meio de compras programadas;</w:t>
      </w:r>
    </w:p>
    <w:p w14:paraId="1CF95B3F" w14:textId="77777777" w:rsidR="00127503" w:rsidRPr="00127503" w:rsidRDefault="00127503" w:rsidP="00127503">
      <w:pPr>
        <w:widowControl/>
        <w:suppressAutoHyphens w:val="0"/>
        <w:autoSpaceDN/>
        <w:spacing w:after="160" w:line="278" w:lineRule="auto"/>
        <w:jc w:val="both"/>
        <w:textAlignment w:val="auto"/>
        <w:rPr>
          <w:rFonts w:eastAsia="Calibri" w:cs="Times"/>
          <w:kern w:val="2"/>
          <w:sz w:val="26"/>
          <w:szCs w:val="26"/>
          <w:lang w:eastAsia="en-US"/>
        </w:rPr>
      </w:pPr>
      <w:r w:rsidRPr="00127503">
        <w:rPr>
          <w:rFonts w:eastAsia="Calibri" w:cs="Times"/>
          <w:b/>
          <w:bCs/>
          <w:kern w:val="2"/>
          <w:sz w:val="26"/>
          <w:szCs w:val="26"/>
          <w:lang w:eastAsia="en-US"/>
        </w:rPr>
        <w:t xml:space="preserve"> lll-</w:t>
      </w:r>
      <w:r w:rsidRPr="00127503">
        <w:rPr>
          <w:rFonts w:eastAsia="Calibri" w:cs="Times"/>
          <w:kern w:val="2"/>
          <w:sz w:val="26"/>
          <w:szCs w:val="26"/>
          <w:lang w:eastAsia="en-US"/>
        </w:rPr>
        <w:t xml:space="preserve"> Desenvolvimento de habilidades de reconhecimento de priorização das necessidades, planejamento e poupança para a conscientização de planos e metas, negociação de compras, criação de fundos de reserva emergencial, noções básicas sobre juros em financia mentos e aplicações financeiras;</w:t>
      </w:r>
    </w:p>
    <w:p w14:paraId="252E3131" w14:textId="12BD621F" w:rsidR="00127503" w:rsidRPr="00127503" w:rsidRDefault="00127503" w:rsidP="00127503">
      <w:pPr>
        <w:widowControl/>
        <w:suppressAutoHyphens w:val="0"/>
        <w:autoSpaceDN/>
        <w:spacing w:after="160" w:line="278" w:lineRule="auto"/>
        <w:jc w:val="both"/>
        <w:textAlignment w:val="auto"/>
        <w:rPr>
          <w:rFonts w:eastAsia="Calibri" w:cs="Times"/>
          <w:kern w:val="2"/>
          <w:sz w:val="26"/>
          <w:szCs w:val="26"/>
          <w:lang w:eastAsia="en-US"/>
        </w:rPr>
      </w:pPr>
      <w:r w:rsidRPr="00127503">
        <w:rPr>
          <w:rFonts w:eastAsia="Calibri" w:cs="Times"/>
          <w:b/>
          <w:bCs/>
          <w:kern w:val="2"/>
          <w:sz w:val="26"/>
          <w:szCs w:val="26"/>
          <w:lang w:eastAsia="en-US"/>
        </w:rPr>
        <w:lastRenderedPageBreak/>
        <w:t>lV -</w:t>
      </w:r>
      <w:r w:rsidRPr="00127503">
        <w:rPr>
          <w:rFonts w:eastAsia="Calibri" w:cs="Times"/>
          <w:kern w:val="2"/>
          <w:sz w:val="26"/>
          <w:szCs w:val="26"/>
          <w:lang w:eastAsia="en-US"/>
        </w:rPr>
        <w:t xml:space="preserve"> Fomento da valorização do trabalho, da atuação do indivíduo como agente ativo e responsável por suas escolhas financeiras e da importância da poupança, seja para o fundo emergencial ou para a concretização de planos e metas, bem como segurança futura. </w:t>
      </w:r>
    </w:p>
    <w:p w14:paraId="7821EC34" w14:textId="77777777" w:rsidR="00127503" w:rsidRPr="00127503" w:rsidRDefault="00127503" w:rsidP="00127503">
      <w:pPr>
        <w:widowControl/>
        <w:suppressAutoHyphens w:val="0"/>
        <w:autoSpaceDN/>
        <w:spacing w:after="160" w:line="278" w:lineRule="auto"/>
        <w:jc w:val="both"/>
        <w:textAlignment w:val="auto"/>
        <w:rPr>
          <w:rFonts w:eastAsia="Calibri" w:cs="Times"/>
          <w:kern w:val="2"/>
          <w:sz w:val="26"/>
          <w:szCs w:val="26"/>
          <w:lang w:eastAsia="en-US"/>
        </w:rPr>
      </w:pPr>
      <w:r w:rsidRPr="00127503">
        <w:rPr>
          <w:rFonts w:eastAsia="Calibri" w:cs="Times"/>
          <w:b/>
          <w:bCs/>
          <w:kern w:val="2"/>
          <w:sz w:val="26"/>
          <w:szCs w:val="26"/>
          <w:lang w:eastAsia="en-US"/>
        </w:rPr>
        <w:t>Art.3º</w:t>
      </w:r>
      <w:r w:rsidRPr="00127503">
        <w:rPr>
          <w:rFonts w:eastAsia="Calibri" w:cs="Times"/>
          <w:kern w:val="2"/>
          <w:sz w:val="26"/>
          <w:szCs w:val="26"/>
          <w:lang w:eastAsia="en-US"/>
        </w:rPr>
        <w:t xml:space="preserve"> Para a execução da Semana de Conscientização sobre Educação Finan ceira poderão ser promovidas palestras sobre educação financeira, ministradas por professores da rede pública municipal de ensino e palestrantes convidados. </w:t>
      </w:r>
    </w:p>
    <w:p w14:paraId="486F8B10" w14:textId="77777777" w:rsidR="00127503" w:rsidRPr="00127503" w:rsidRDefault="00127503" w:rsidP="00127503">
      <w:pPr>
        <w:widowControl/>
        <w:suppressAutoHyphens w:val="0"/>
        <w:autoSpaceDN/>
        <w:spacing w:after="160" w:line="278" w:lineRule="auto"/>
        <w:jc w:val="both"/>
        <w:textAlignment w:val="auto"/>
        <w:rPr>
          <w:rFonts w:eastAsia="Calibri" w:cs="Times"/>
          <w:kern w:val="2"/>
          <w:sz w:val="26"/>
          <w:szCs w:val="26"/>
          <w:lang w:eastAsia="en-US"/>
        </w:rPr>
      </w:pPr>
      <w:r w:rsidRPr="00127503">
        <w:rPr>
          <w:rFonts w:eastAsia="Calibri" w:cs="Times"/>
          <w:b/>
          <w:bCs/>
          <w:kern w:val="2"/>
          <w:sz w:val="26"/>
          <w:szCs w:val="26"/>
          <w:lang w:eastAsia="en-US"/>
        </w:rPr>
        <w:t>Art. 4º</w:t>
      </w:r>
      <w:r w:rsidRPr="00127503">
        <w:rPr>
          <w:rFonts w:eastAsia="Calibri" w:cs="Times"/>
          <w:kern w:val="2"/>
          <w:sz w:val="26"/>
          <w:szCs w:val="26"/>
          <w:lang w:eastAsia="en-US"/>
        </w:rPr>
        <w:t xml:space="preserve"> A Semana ora instituída passará a integrar o Calendário Oficial do Município de  Araxá.</w:t>
      </w:r>
    </w:p>
    <w:p w14:paraId="7A36CE88" w14:textId="77777777" w:rsidR="00127503" w:rsidRPr="00127503" w:rsidRDefault="00127503" w:rsidP="00127503">
      <w:pPr>
        <w:widowControl/>
        <w:suppressAutoHyphens w:val="0"/>
        <w:autoSpaceDN/>
        <w:spacing w:after="160" w:line="278" w:lineRule="auto"/>
        <w:jc w:val="both"/>
        <w:textAlignment w:val="auto"/>
        <w:rPr>
          <w:rFonts w:eastAsia="Calibri" w:cs="Times"/>
          <w:kern w:val="2"/>
          <w:sz w:val="26"/>
          <w:szCs w:val="26"/>
          <w:lang w:eastAsia="en-US"/>
        </w:rPr>
      </w:pPr>
      <w:r w:rsidRPr="00127503">
        <w:rPr>
          <w:rFonts w:eastAsia="Calibri" w:cs="Times"/>
          <w:kern w:val="2"/>
          <w:sz w:val="26"/>
          <w:szCs w:val="26"/>
          <w:lang w:eastAsia="en-US"/>
        </w:rPr>
        <w:t xml:space="preserve"> </w:t>
      </w:r>
      <w:r w:rsidRPr="00127503">
        <w:rPr>
          <w:rFonts w:eastAsia="Calibri" w:cs="Times"/>
          <w:b/>
          <w:bCs/>
          <w:kern w:val="2"/>
          <w:sz w:val="26"/>
          <w:szCs w:val="26"/>
          <w:lang w:eastAsia="en-US"/>
        </w:rPr>
        <w:t>Art. 5º</w:t>
      </w:r>
      <w:r w:rsidRPr="00127503">
        <w:rPr>
          <w:rFonts w:eastAsia="Calibri" w:cs="Times"/>
          <w:kern w:val="2"/>
          <w:sz w:val="26"/>
          <w:szCs w:val="26"/>
          <w:lang w:eastAsia="en-US"/>
        </w:rPr>
        <w:t xml:space="preserve"> O Executivo Municipal regulamentará a presente Lei, no que couber. </w:t>
      </w:r>
    </w:p>
    <w:p w14:paraId="239E42ED" w14:textId="77777777" w:rsidR="00127503" w:rsidRPr="00127503" w:rsidRDefault="00127503" w:rsidP="00127503">
      <w:pPr>
        <w:widowControl/>
        <w:suppressAutoHyphens w:val="0"/>
        <w:autoSpaceDN/>
        <w:spacing w:after="160" w:line="278" w:lineRule="auto"/>
        <w:jc w:val="both"/>
        <w:textAlignment w:val="auto"/>
        <w:rPr>
          <w:rFonts w:eastAsia="Calibri" w:cs="Times"/>
          <w:kern w:val="2"/>
          <w:sz w:val="26"/>
          <w:szCs w:val="26"/>
          <w:lang w:eastAsia="en-US"/>
        </w:rPr>
      </w:pPr>
      <w:r w:rsidRPr="00127503">
        <w:rPr>
          <w:rFonts w:eastAsia="Calibri" w:cs="Times"/>
          <w:b/>
          <w:bCs/>
          <w:kern w:val="2"/>
          <w:sz w:val="26"/>
          <w:szCs w:val="26"/>
          <w:lang w:eastAsia="en-US"/>
        </w:rPr>
        <w:t>Art. 6º</w:t>
      </w:r>
      <w:r w:rsidRPr="00127503">
        <w:rPr>
          <w:rFonts w:eastAsia="Calibri" w:cs="Times"/>
          <w:kern w:val="2"/>
          <w:sz w:val="26"/>
          <w:szCs w:val="26"/>
          <w:lang w:eastAsia="en-US"/>
        </w:rPr>
        <w:t xml:space="preserve"> As despesas com a execução desta Lei correrão por conta de dotações orçamentárias próprias, consignadas no orçamento vigente, suplementadas, se necessário.</w:t>
      </w:r>
    </w:p>
    <w:p w14:paraId="097A39F8" w14:textId="77777777" w:rsidR="00127503" w:rsidRPr="00127503" w:rsidRDefault="00127503" w:rsidP="00127503">
      <w:pPr>
        <w:widowControl/>
        <w:suppressAutoHyphens w:val="0"/>
        <w:autoSpaceDN/>
        <w:spacing w:after="160" w:line="278" w:lineRule="auto"/>
        <w:jc w:val="both"/>
        <w:textAlignment w:val="auto"/>
        <w:rPr>
          <w:rFonts w:eastAsia="Calibri" w:cs="Times"/>
          <w:kern w:val="2"/>
          <w:sz w:val="26"/>
          <w:szCs w:val="26"/>
          <w:lang w:eastAsia="en-US"/>
        </w:rPr>
      </w:pPr>
      <w:r w:rsidRPr="00127503">
        <w:rPr>
          <w:rFonts w:eastAsia="Calibri" w:cs="Times"/>
          <w:kern w:val="2"/>
          <w:sz w:val="26"/>
          <w:szCs w:val="26"/>
          <w:lang w:eastAsia="en-US"/>
        </w:rPr>
        <w:t xml:space="preserve"> </w:t>
      </w:r>
      <w:r w:rsidRPr="00127503">
        <w:rPr>
          <w:rFonts w:eastAsia="Calibri" w:cs="Times"/>
          <w:b/>
          <w:bCs/>
          <w:kern w:val="2"/>
          <w:sz w:val="26"/>
          <w:szCs w:val="26"/>
          <w:lang w:eastAsia="en-US"/>
        </w:rPr>
        <w:t>Art. 7º</w:t>
      </w:r>
      <w:r w:rsidRPr="00127503">
        <w:rPr>
          <w:rFonts w:eastAsia="Calibri" w:cs="Times"/>
          <w:kern w:val="2"/>
          <w:sz w:val="26"/>
          <w:szCs w:val="26"/>
          <w:lang w:eastAsia="en-US"/>
        </w:rPr>
        <w:t xml:space="preserve"> Esta Lei entra em vigor na data de sua publicação.</w:t>
      </w:r>
    </w:p>
    <w:p w14:paraId="17DA540D" w14:textId="77777777" w:rsidR="00127503" w:rsidRPr="00127503" w:rsidRDefault="00127503" w:rsidP="00127503">
      <w:pPr>
        <w:jc w:val="both"/>
        <w:rPr>
          <w:rFonts w:cs="Times"/>
          <w:sz w:val="26"/>
          <w:szCs w:val="26"/>
        </w:rPr>
      </w:pPr>
    </w:p>
    <w:p w14:paraId="2DD7222F" w14:textId="77777777" w:rsidR="00127503" w:rsidRPr="00127503" w:rsidRDefault="00127503" w:rsidP="00127503">
      <w:pPr>
        <w:jc w:val="both"/>
        <w:rPr>
          <w:rFonts w:cs="Times"/>
          <w:sz w:val="26"/>
          <w:szCs w:val="26"/>
        </w:rPr>
      </w:pPr>
      <w:r w:rsidRPr="00127503">
        <w:rPr>
          <w:rFonts w:eastAsia="Calibri" w:cs="Times"/>
          <w:b/>
          <w:bCs/>
          <w:kern w:val="2"/>
          <w:sz w:val="26"/>
          <w:szCs w:val="26"/>
          <w:lang w:eastAsia="en-US"/>
        </w:rPr>
        <w:t>Art. 8° -</w:t>
      </w:r>
      <w:r w:rsidRPr="00127503">
        <w:rPr>
          <w:rFonts w:cs="Times"/>
          <w:sz w:val="26"/>
          <w:szCs w:val="26"/>
        </w:rPr>
        <w:t xml:space="preserve"> Revogam-se as disposições em contrário, entrando esta Lei em vigor na data de sua publicação. </w:t>
      </w:r>
    </w:p>
    <w:p w14:paraId="3147260A" w14:textId="77777777" w:rsidR="00127503" w:rsidRPr="00127503" w:rsidRDefault="00127503" w:rsidP="00127503">
      <w:pPr>
        <w:jc w:val="both"/>
        <w:rPr>
          <w:rFonts w:cs="Times"/>
          <w:sz w:val="26"/>
          <w:szCs w:val="26"/>
        </w:rPr>
      </w:pPr>
    </w:p>
    <w:p w14:paraId="118B139E" w14:textId="77777777" w:rsidR="00127503" w:rsidRPr="00127503" w:rsidRDefault="00127503" w:rsidP="00127503">
      <w:pPr>
        <w:jc w:val="both"/>
        <w:rPr>
          <w:rFonts w:cs="Times"/>
          <w:sz w:val="26"/>
          <w:szCs w:val="26"/>
        </w:rPr>
      </w:pPr>
    </w:p>
    <w:p w14:paraId="1F7C60E7" w14:textId="77777777" w:rsidR="00127503" w:rsidRPr="00127503" w:rsidRDefault="00127503" w:rsidP="00127503">
      <w:pPr>
        <w:jc w:val="center"/>
        <w:rPr>
          <w:rFonts w:cs="Times"/>
          <w:sz w:val="26"/>
          <w:szCs w:val="26"/>
        </w:rPr>
      </w:pPr>
      <w:r w:rsidRPr="00127503">
        <w:rPr>
          <w:rFonts w:cs="Times"/>
          <w:sz w:val="26"/>
          <w:szCs w:val="26"/>
        </w:rPr>
        <w:t xml:space="preserve">Plenário Vereador Guilherme Gotelip Neto, </w:t>
      </w:r>
    </w:p>
    <w:p w14:paraId="019E42DB" w14:textId="77777777" w:rsidR="00127503" w:rsidRPr="00127503" w:rsidRDefault="00127503" w:rsidP="00127503">
      <w:pPr>
        <w:jc w:val="center"/>
        <w:rPr>
          <w:rFonts w:cs="Times"/>
          <w:sz w:val="26"/>
          <w:szCs w:val="26"/>
        </w:rPr>
      </w:pPr>
    </w:p>
    <w:p w14:paraId="2F77833B" w14:textId="77777777" w:rsidR="00127503" w:rsidRPr="00127503" w:rsidRDefault="00127503" w:rsidP="00127503">
      <w:pPr>
        <w:jc w:val="center"/>
        <w:rPr>
          <w:rFonts w:cs="Times"/>
          <w:sz w:val="26"/>
          <w:szCs w:val="26"/>
        </w:rPr>
      </w:pPr>
    </w:p>
    <w:p w14:paraId="16F246B4" w14:textId="28750E7E" w:rsidR="00127503" w:rsidRPr="00127503" w:rsidRDefault="00127503" w:rsidP="00127503">
      <w:pPr>
        <w:jc w:val="center"/>
        <w:rPr>
          <w:rFonts w:cs="Times"/>
          <w:sz w:val="26"/>
          <w:szCs w:val="26"/>
        </w:rPr>
      </w:pPr>
      <w:r w:rsidRPr="00127503">
        <w:rPr>
          <w:rFonts w:cs="Times"/>
          <w:sz w:val="26"/>
          <w:szCs w:val="26"/>
        </w:rPr>
        <w:t>Araxá,  03 de março de 2026</w:t>
      </w:r>
    </w:p>
    <w:p w14:paraId="678F2551" w14:textId="77777777" w:rsidR="00127503" w:rsidRPr="00127503" w:rsidRDefault="00127503" w:rsidP="00127503">
      <w:pPr>
        <w:jc w:val="center"/>
        <w:rPr>
          <w:rFonts w:cs="Times"/>
          <w:sz w:val="26"/>
          <w:szCs w:val="26"/>
        </w:rPr>
      </w:pPr>
    </w:p>
    <w:p w14:paraId="79978647" w14:textId="77777777" w:rsidR="00127503" w:rsidRPr="00127503" w:rsidRDefault="00127503" w:rsidP="00127503">
      <w:pPr>
        <w:jc w:val="center"/>
        <w:rPr>
          <w:rFonts w:cs="Times"/>
          <w:sz w:val="26"/>
          <w:szCs w:val="26"/>
        </w:rPr>
      </w:pPr>
    </w:p>
    <w:p w14:paraId="45073EE3" w14:textId="77777777" w:rsidR="00127503" w:rsidRPr="00127503" w:rsidRDefault="00127503" w:rsidP="00127503">
      <w:pPr>
        <w:jc w:val="center"/>
        <w:rPr>
          <w:rFonts w:cs="Times"/>
          <w:b/>
          <w:bCs/>
          <w:sz w:val="26"/>
          <w:szCs w:val="26"/>
        </w:rPr>
      </w:pPr>
    </w:p>
    <w:p w14:paraId="42047649" w14:textId="77777777" w:rsidR="00127503" w:rsidRPr="00127503" w:rsidRDefault="00127503" w:rsidP="00127503">
      <w:pPr>
        <w:ind w:left="1134" w:firstLine="1701"/>
        <w:jc w:val="both"/>
        <w:rPr>
          <w:rFonts w:cs="Times"/>
          <w:sz w:val="26"/>
          <w:szCs w:val="26"/>
        </w:rPr>
      </w:pPr>
    </w:p>
    <w:p w14:paraId="403AB6F8" w14:textId="77777777" w:rsidR="00127503" w:rsidRPr="00127503" w:rsidRDefault="00127503" w:rsidP="00127503">
      <w:pPr>
        <w:jc w:val="center"/>
        <w:rPr>
          <w:rFonts w:cs="Times"/>
          <w:b/>
          <w:bCs/>
          <w:sz w:val="26"/>
          <w:szCs w:val="26"/>
        </w:rPr>
      </w:pPr>
    </w:p>
    <w:p w14:paraId="278A29E1" w14:textId="77777777" w:rsidR="00127503" w:rsidRPr="00127503" w:rsidRDefault="00127503" w:rsidP="00127503">
      <w:pPr>
        <w:jc w:val="center"/>
        <w:rPr>
          <w:rFonts w:cs="Times"/>
          <w:b/>
          <w:bCs/>
          <w:sz w:val="26"/>
          <w:szCs w:val="26"/>
        </w:rPr>
      </w:pPr>
      <w:r w:rsidRPr="00127503">
        <w:rPr>
          <w:rFonts w:cs="Times"/>
          <w:b/>
          <w:bCs/>
          <w:sz w:val="26"/>
          <w:szCs w:val="26"/>
        </w:rPr>
        <w:t>Ricardo Alexandre da Silva</w:t>
      </w:r>
    </w:p>
    <w:p w14:paraId="7A7551C9" w14:textId="77777777" w:rsidR="00127503" w:rsidRPr="00127503" w:rsidRDefault="00127503" w:rsidP="00127503">
      <w:pPr>
        <w:jc w:val="center"/>
        <w:rPr>
          <w:rFonts w:cs="Times"/>
          <w:b/>
          <w:bCs/>
          <w:sz w:val="26"/>
          <w:szCs w:val="26"/>
        </w:rPr>
      </w:pPr>
      <w:r w:rsidRPr="00127503">
        <w:rPr>
          <w:rFonts w:cs="Times"/>
          <w:b/>
          <w:bCs/>
          <w:sz w:val="26"/>
          <w:szCs w:val="26"/>
        </w:rPr>
        <w:t>Kaká – Vereador do PP</w:t>
      </w:r>
    </w:p>
    <w:p w14:paraId="01CF7CF1" w14:textId="77777777" w:rsidR="00127503" w:rsidRPr="00127503" w:rsidRDefault="00127503" w:rsidP="00127503">
      <w:pPr>
        <w:ind w:left="1134"/>
        <w:jc w:val="center"/>
        <w:rPr>
          <w:rFonts w:cs="Times"/>
          <w:b/>
          <w:sz w:val="26"/>
          <w:szCs w:val="26"/>
        </w:rPr>
      </w:pPr>
    </w:p>
    <w:p w14:paraId="0FF8D2D7" w14:textId="77777777" w:rsidR="00127503" w:rsidRPr="00127503" w:rsidRDefault="00127503" w:rsidP="00127503">
      <w:pPr>
        <w:ind w:left="1134"/>
        <w:jc w:val="center"/>
        <w:rPr>
          <w:rFonts w:cs="Times"/>
          <w:b/>
          <w:sz w:val="26"/>
          <w:szCs w:val="26"/>
        </w:rPr>
      </w:pPr>
    </w:p>
    <w:p w14:paraId="57BD38CE" w14:textId="77777777" w:rsidR="00127503" w:rsidRPr="00127503" w:rsidRDefault="00127503" w:rsidP="00127503">
      <w:pPr>
        <w:ind w:left="1134"/>
        <w:jc w:val="center"/>
        <w:rPr>
          <w:rFonts w:cs="Times"/>
          <w:b/>
          <w:sz w:val="26"/>
          <w:szCs w:val="26"/>
        </w:rPr>
      </w:pPr>
    </w:p>
    <w:p w14:paraId="1139183F" w14:textId="77777777" w:rsidR="00127503" w:rsidRPr="00127503" w:rsidRDefault="00127503" w:rsidP="00127503">
      <w:pPr>
        <w:ind w:left="1134"/>
        <w:jc w:val="center"/>
        <w:rPr>
          <w:rFonts w:cs="Times"/>
          <w:b/>
          <w:sz w:val="26"/>
          <w:szCs w:val="26"/>
        </w:rPr>
      </w:pPr>
    </w:p>
    <w:p w14:paraId="5663E175" w14:textId="77777777" w:rsidR="00127503" w:rsidRPr="00127503" w:rsidRDefault="00127503" w:rsidP="00127503">
      <w:pPr>
        <w:ind w:left="1134"/>
        <w:jc w:val="center"/>
        <w:rPr>
          <w:rFonts w:cs="Times"/>
          <w:b/>
          <w:sz w:val="26"/>
          <w:szCs w:val="26"/>
        </w:rPr>
      </w:pPr>
    </w:p>
    <w:p w14:paraId="50CD24AA" w14:textId="77777777" w:rsidR="00127503" w:rsidRPr="00127503" w:rsidRDefault="00127503" w:rsidP="00127503">
      <w:pPr>
        <w:ind w:left="1134"/>
        <w:jc w:val="center"/>
        <w:rPr>
          <w:rFonts w:cs="Times"/>
          <w:b/>
          <w:sz w:val="26"/>
          <w:szCs w:val="26"/>
        </w:rPr>
      </w:pPr>
    </w:p>
    <w:p w14:paraId="3CA6B927" w14:textId="77777777" w:rsidR="00127503" w:rsidRPr="00127503" w:rsidRDefault="00127503" w:rsidP="00127503">
      <w:pPr>
        <w:ind w:left="1134"/>
        <w:jc w:val="center"/>
        <w:rPr>
          <w:rFonts w:cs="Times"/>
          <w:b/>
          <w:sz w:val="26"/>
          <w:szCs w:val="26"/>
        </w:rPr>
      </w:pPr>
    </w:p>
    <w:p w14:paraId="5E5A8E4A" w14:textId="77777777" w:rsidR="00127503" w:rsidRPr="00127503" w:rsidRDefault="00127503" w:rsidP="00127503">
      <w:pPr>
        <w:ind w:left="1134"/>
        <w:jc w:val="center"/>
        <w:rPr>
          <w:rFonts w:cs="Times"/>
          <w:b/>
          <w:sz w:val="26"/>
          <w:szCs w:val="26"/>
        </w:rPr>
      </w:pPr>
    </w:p>
    <w:p w14:paraId="644D2326" w14:textId="77777777" w:rsidR="00127503" w:rsidRPr="00127503" w:rsidRDefault="00127503" w:rsidP="00127503">
      <w:pPr>
        <w:ind w:left="1134"/>
        <w:jc w:val="center"/>
        <w:rPr>
          <w:rFonts w:cs="Times"/>
          <w:b/>
          <w:sz w:val="26"/>
          <w:szCs w:val="26"/>
        </w:rPr>
      </w:pPr>
    </w:p>
    <w:p w14:paraId="07550748" w14:textId="77777777" w:rsidR="00127503" w:rsidRPr="00127503" w:rsidRDefault="00127503" w:rsidP="00127503">
      <w:pPr>
        <w:ind w:left="1134"/>
        <w:jc w:val="center"/>
        <w:rPr>
          <w:rFonts w:cs="Times"/>
          <w:b/>
          <w:sz w:val="26"/>
          <w:szCs w:val="26"/>
        </w:rPr>
      </w:pPr>
    </w:p>
    <w:p w14:paraId="315F728F" w14:textId="77777777" w:rsidR="00127503" w:rsidRPr="00127503" w:rsidRDefault="00127503" w:rsidP="00127503">
      <w:pPr>
        <w:ind w:left="1134"/>
        <w:jc w:val="center"/>
        <w:rPr>
          <w:rFonts w:cs="Times"/>
          <w:b/>
          <w:sz w:val="26"/>
          <w:szCs w:val="26"/>
        </w:rPr>
      </w:pPr>
    </w:p>
    <w:p w14:paraId="52BCCCAA" w14:textId="77777777" w:rsidR="00127503" w:rsidRPr="00127503" w:rsidRDefault="00127503" w:rsidP="00127503">
      <w:pPr>
        <w:ind w:left="1134"/>
        <w:jc w:val="center"/>
        <w:rPr>
          <w:rFonts w:cs="Times"/>
          <w:b/>
          <w:sz w:val="26"/>
          <w:szCs w:val="26"/>
        </w:rPr>
      </w:pPr>
    </w:p>
    <w:p w14:paraId="339C24E1" w14:textId="77777777" w:rsidR="00127503" w:rsidRPr="00127503" w:rsidRDefault="00127503" w:rsidP="00127503">
      <w:pPr>
        <w:ind w:left="1134"/>
        <w:jc w:val="center"/>
        <w:rPr>
          <w:rFonts w:cs="Times"/>
          <w:b/>
          <w:sz w:val="26"/>
          <w:szCs w:val="26"/>
        </w:rPr>
      </w:pPr>
    </w:p>
    <w:p w14:paraId="09A0D465" w14:textId="77777777" w:rsidR="00127503" w:rsidRPr="00127503" w:rsidRDefault="00127503" w:rsidP="00127503">
      <w:pPr>
        <w:ind w:left="1134"/>
        <w:jc w:val="center"/>
        <w:rPr>
          <w:rFonts w:cs="Times"/>
          <w:b/>
          <w:sz w:val="26"/>
          <w:szCs w:val="26"/>
        </w:rPr>
      </w:pPr>
    </w:p>
    <w:p w14:paraId="0CE3FF20" w14:textId="77777777" w:rsidR="00127503" w:rsidRPr="00127503" w:rsidRDefault="00127503" w:rsidP="00127503">
      <w:pPr>
        <w:ind w:left="1134"/>
        <w:jc w:val="center"/>
        <w:rPr>
          <w:rFonts w:cs="Times"/>
          <w:b/>
          <w:sz w:val="26"/>
          <w:szCs w:val="26"/>
        </w:rPr>
      </w:pPr>
    </w:p>
    <w:p w14:paraId="3D7206C6" w14:textId="77777777" w:rsidR="00127503" w:rsidRPr="00127503" w:rsidRDefault="00127503" w:rsidP="00127503">
      <w:pPr>
        <w:ind w:left="1134"/>
        <w:jc w:val="center"/>
        <w:rPr>
          <w:rFonts w:cs="Times"/>
          <w:b/>
          <w:sz w:val="26"/>
          <w:szCs w:val="26"/>
        </w:rPr>
      </w:pPr>
    </w:p>
    <w:p w14:paraId="2CD44655" w14:textId="77777777" w:rsidR="00127503" w:rsidRPr="00127503" w:rsidRDefault="00127503" w:rsidP="00127503">
      <w:pPr>
        <w:ind w:left="1134"/>
        <w:jc w:val="center"/>
        <w:rPr>
          <w:rFonts w:cs="Times"/>
          <w:b/>
          <w:sz w:val="26"/>
          <w:szCs w:val="26"/>
        </w:rPr>
      </w:pPr>
    </w:p>
    <w:p w14:paraId="70A6AD17" w14:textId="77777777" w:rsidR="00127503" w:rsidRPr="00127503" w:rsidRDefault="00127503" w:rsidP="00127503">
      <w:pPr>
        <w:ind w:left="1134"/>
        <w:jc w:val="center"/>
        <w:rPr>
          <w:rFonts w:cs="Times"/>
          <w:b/>
          <w:sz w:val="26"/>
          <w:szCs w:val="26"/>
        </w:rPr>
      </w:pPr>
    </w:p>
    <w:p w14:paraId="69045B75" w14:textId="77777777" w:rsidR="00127503" w:rsidRPr="00127503" w:rsidRDefault="00127503" w:rsidP="00127503">
      <w:pPr>
        <w:ind w:left="1134"/>
        <w:jc w:val="center"/>
        <w:rPr>
          <w:rFonts w:cs="Times"/>
          <w:b/>
          <w:sz w:val="26"/>
          <w:szCs w:val="26"/>
        </w:rPr>
      </w:pPr>
    </w:p>
    <w:p w14:paraId="67357F34" w14:textId="6423AAFE" w:rsidR="00127503" w:rsidRPr="00127503" w:rsidRDefault="00127503" w:rsidP="00127503">
      <w:pPr>
        <w:jc w:val="center"/>
        <w:rPr>
          <w:rFonts w:cs="Times"/>
          <w:b/>
          <w:sz w:val="26"/>
          <w:szCs w:val="26"/>
        </w:rPr>
      </w:pPr>
      <w:r w:rsidRPr="00127503">
        <w:rPr>
          <w:rFonts w:cs="Times"/>
          <w:b/>
          <w:sz w:val="26"/>
          <w:szCs w:val="26"/>
        </w:rPr>
        <w:t>Justificativa</w:t>
      </w:r>
    </w:p>
    <w:p w14:paraId="57FC4D1E" w14:textId="77777777" w:rsidR="00127503" w:rsidRPr="00127503" w:rsidRDefault="00127503" w:rsidP="00127503">
      <w:pPr>
        <w:jc w:val="center"/>
        <w:rPr>
          <w:rFonts w:cs="Times"/>
          <w:b/>
          <w:sz w:val="26"/>
          <w:szCs w:val="26"/>
        </w:rPr>
      </w:pPr>
    </w:p>
    <w:p w14:paraId="51520781" w14:textId="77777777" w:rsidR="00127503" w:rsidRPr="00127503" w:rsidRDefault="00127503" w:rsidP="00127503">
      <w:pPr>
        <w:jc w:val="center"/>
        <w:rPr>
          <w:rFonts w:cs="Times"/>
          <w:b/>
          <w:sz w:val="26"/>
          <w:szCs w:val="26"/>
        </w:rPr>
      </w:pPr>
    </w:p>
    <w:p w14:paraId="0A5DD6B8" w14:textId="77777777" w:rsidR="00127503" w:rsidRPr="00127503" w:rsidRDefault="00127503" w:rsidP="00127503">
      <w:pPr>
        <w:ind w:left="1134"/>
        <w:jc w:val="center"/>
        <w:rPr>
          <w:rFonts w:cs="Times"/>
          <w:b/>
          <w:sz w:val="26"/>
          <w:szCs w:val="26"/>
        </w:rPr>
      </w:pPr>
    </w:p>
    <w:p w14:paraId="4D0308BD" w14:textId="528969C0" w:rsidR="00127503" w:rsidRPr="00127503" w:rsidRDefault="00127503" w:rsidP="00127503">
      <w:pPr>
        <w:ind w:left="-284"/>
        <w:jc w:val="both"/>
        <w:rPr>
          <w:rFonts w:cs="Times"/>
          <w:b/>
          <w:sz w:val="26"/>
          <w:szCs w:val="26"/>
        </w:rPr>
      </w:pPr>
      <w:r w:rsidRPr="00127503">
        <w:rPr>
          <w:rFonts w:cs="Times"/>
          <w:sz w:val="26"/>
          <w:szCs w:val="26"/>
        </w:rPr>
        <w:t>O projeto de Lei, que  estamos apresentando nesta Casa Legislativa, para análise e votação pelos nobres edis desta  Câmara de Vereadores, tem como objetivo a instituição da Semana Municipal de Conscientização sobre Educação financeira nas Escolas Municipais de Araxá e EJA da rede pública municipal. No brasil existe um número alto de inadimplentes, portanto a aprovação desse Projeto de Lei fomentará, desde a adolescência, à consciência e a necessidade do equilíbrio entre receitas e despesas domésticas, para evitar a quebra e a inadimplência. Nossa proposta é embasada a pesquisas realizadas por órgão competentes, onde nos mostra a importância dessa proposta. lnformamos então, que o lndicador de Educação Financeira (lndEF) 2014, elaborado pelo Serasa Consumidor e o IBOPE lnteligência, revela que jovens entre 16 e 24 anos são os que possuem menos controle de sua vida financeira no Brasil. De acordo com Júlio Leandro, Superintendente do Serasa Consumidor, este é um dos fatores que mais contribuem para que o jovem brasileiro tivesse o nível mais baixo de Educação Financeira. Diante do exposto, solicitamos a aprovaçâo deste projeto de lei, uma vêz que virá em benefício de um grande número de pessoas para mudar esse quadro onde nossos jovens já iniciam suas vidas muitas vezes endividados.</w:t>
      </w:r>
    </w:p>
    <w:p w14:paraId="087327D6" w14:textId="77777777" w:rsidR="00127503" w:rsidRPr="00127503" w:rsidRDefault="00127503" w:rsidP="00127503">
      <w:pPr>
        <w:spacing w:line="360" w:lineRule="auto"/>
        <w:jc w:val="both"/>
        <w:rPr>
          <w:rFonts w:cs="Times"/>
          <w:sz w:val="26"/>
          <w:szCs w:val="26"/>
        </w:rPr>
      </w:pPr>
    </w:p>
    <w:p w14:paraId="44CBE2CE" w14:textId="77777777" w:rsidR="00127503" w:rsidRPr="00127503" w:rsidRDefault="00127503" w:rsidP="00127503">
      <w:pPr>
        <w:spacing w:line="360" w:lineRule="auto"/>
        <w:jc w:val="both"/>
        <w:rPr>
          <w:rFonts w:cs="Times"/>
          <w:sz w:val="26"/>
          <w:szCs w:val="26"/>
        </w:rPr>
      </w:pPr>
    </w:p>
    <w:p w14:paraId="190559F5" w14:textId="77777777" w:rsidR="00127503" w:rsidRPr="00127503" w:rsidRDefault="00127503" w:rsidP="00127503">
      <w:pPr>
        <w:jc w:val="center"/>
        <w:rPr>
          <w:rFonts w:cs="Times"/>
          <w:b/>
          <w:bCs/>
          <w:sz w:val="26"/>
          <w:szCs w:val="26"/>
        </w:rPr>
      </w:pPr>
    </w:p>
    <w:p w14:paraId="7D58D4E8" w14:textId="77777777" w:rsidR="00127503" w:rsidRPr="00127503" w:rsidRDefault="00127503" w:rsidP="00127503">
      <w:pPr>
        <w:jc w:val="center"/>
        <w:rPr>
          <w:rFonts w:cs="Times"/>
          <w:b/>
          <w:bCs/>
          <w:sz w:val="26"/>
          <w:szCs w:val="26"/>
        </w:rPr>
      </w:pPr>
      <w:r w:rsidRPr="00127503">
        <w:rPr>
          <w:rFonts w:cs="Times"/>
          <w:b/>
          <w:bCs/>
          <w:sz w:val="26"/>
          <w:szCs w:val="26"/>
        </w:rPr>
        <w:t>Ricardo Alexandre da Silva</w:t>
      </w:r>
    </w:p>
    <w:p w14:paraId="53ECBE5E" w14:textId="77777777" w:rsidR="00127503" w:rsidRPr="00127503" w:rsidRDefault="00127503" w:rsidP="00127503">
      <w:pPr>
        <w:jc w:val="center"/>
        <w:rPr>
          <w:rFonts w:cs="Times"/>
          <w:b/>
          <w:bCs/>
          <w:sz w:val="26"/>
          <w:szCs w:val="26"/>
        </w:rPr>
      </w:pPr>
      <w:r w:rsidRPr="00127503">
        <w:rPr>
          <w:rFonts w:cs="Times"/>
          <w:b/>
          <w:bCs/>
          <w:sz w:val="26"/>
          <w:szCs w:val="26"/>
        </w:rPr>
        <w:t>Kaká – Vereador do PP</w:t>
      </w:r>
    </w:p>
    <w:p w14:paraId="20D9766B" w14:textId="579F657D" w:rsidR="00127503" w:rsidRPr="00127503" w:rsidRDefault="00127503" w:rsidP="00127503">
      <w:pPr>
        <w:ind w:left="1134"/>
        <w:jc w:val="center"/>
        <w:rPr>
          <w:rFonts w:cs="Times"/>
          <w:b/>
          <w:sz w:val="26"/>
          <w:szCs w:val="26"/>
        </w:rPr>
      </w:pPr>
    </w:p>
    <w:p w14:paraId="51A09866" w14:textId="77777777" w:rsidR="00127503" w:rsidRPr="00127503" w:rsidRDefault="00127503" w:rsidP="00127503">
      <w:pPr>
        <w:ind w:left="1134"/>
        <w:jc w:val="center"/>
        <w:rPr>
          <w:rFonts w:cs="Times"/>
          <w:b/>
          <w:sz w:val="26"/>
          <w:szCs w:val="26"/>
        </w:rPr>
      </w:pPr>
      <w:r w:rsidRPr="00127503">
        <w:rPr>
          <w:rFonts w:cs="Times"/>
          <w:b/>
          <w:sz w:val="26"/>
          <w:szCs w:val="26"/>
        </w:rPr>
        <w:t xml:space="preserve">         </w:t>
      </w:r>
    </w:p>
    <w:sectPr w:rsidR="00127503" w:rsidRPr="00127503" w:rsidSect="00127503">
      <w:headerReference w:type="even" r:id="rId6"/>
      <w:headerReference w:type="default" r:id="rId7"/>
      <w:footerReference w:type="default" r:id="rId8"/>
      <w:headerReference w:type="first" r:id="rId9"/>
      <w:pgSz w:w="11905" w:h="16837"/>
      <w:pgMar w:top="1474" w:right="1463" w:bottom="1418" w:left="158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BD064" w14:textId="77777777" w:rsidR="00BD024D" w:rsidRDefault="00BD024D">
      <w:r>
        <w:separator/>
      </w:r>
    </w:p>
  </w:endnote>
  <w:endnote w:type="continuationSeparator" w:id="0">
    <w:p w14:paraId="1B6FE587" w14:textId="77777777" w:rsidR="00BD024D" w:rsidRDefault="00BD0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00000000" w:usb1="5200F5FF" w:usb2="0A242021" w:usb3="00000000" w:csb0="000001B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162A0" w14:textId="77777777" w:rsidR="00127503" w:rsidRDefault="00127503" w:rsidP="00B11ABE">
    <w:pPr>
      <w:pStyle w:val="Rodap1"/>
      <w:jc w:val="left"/>
      <w:rPr>
        <w:rFonts w:ascii="Verdana" w:hAnsi="Verdana"/>
        <w:sz w:val="16"/>
        <w:szCs w:val="16"/>
      </w:rPr>
    </w:pPr>
  </w:p>
  <w:p w14:paraId="07117D8E" w14:textId="77777777" w:rsidR="00127503" w:rsidRPr="00B11ABE" w:rsidRDefault="00127503" w:rsidP="00B11ABE">
    <w:pPr>
      <w:pStyle w:val="HorizontalLine"/>
      <w:rPr>
        <w:sz w:val="16"/>
        <w:szCs w:val="16"/>
      </w:rPr>
    </w:pPr>
  </w:p>
  <w:p w14:paraId="450A5381" w14:textId="77777777" w:rsidR="00127503" w:rsidRPr="00883692" w:rsidRDefault="00127503" w:rsidP="00B11ABE">
    <w:pPr>
      <w:pStyle w:val="Rodap1"/>
      <w:rPr>
        <w:rFonts w:ascii="Times New Roman" w:hAnsi="Times New Roman" w:cs="Times New Roman"/>
        <w:sz w:val="22"/>
        <w:szCs w:val="22"/>
      </w:rPr>
    </w:pPr>
    <w:r w:rsidRPr="00883692">
      <w:rPr>
        <w:rFonts w:ascii="Times New Roman" w:hAnsi="Times New Roman" w:cs="Times New Roman"/>
        <w:sz w:val="22"/>
        <w:szCs w:val="22"/>
      </w:rPr>
      <w:t>Av. João Paulo II – nº 1200 – Guilhermina Vieira Chaer – Araxá-MG, CEP</w:t>
    </w:r>
    <w:r>
      <w:rPr>
        <w:rFonts w:ascii="Times New Roman" w:hAnsi="Times New Roman" w:cs="Times New Roman"/>
        <w:sz w:val="22"/>
        <w:szCs w:val="22"/>
      </w:rPr>
      <w:t>:</w:t>
    </w:r>
    <w:r w:rsidRPr="00883692">
      <w:rPr>
        <w:rFonts w:ascii="Times New Roman" w:hAnsi="Times New Roman" w:cs="Times New Roman"/>
        <w:sz w:val="22"/>
        <w:szCs w:val="22"/>
      </w:rPr>
      <w:t xml:space="preserve"> </w:t>
    </w:r>
    <w:r w:rsidRPr="00883692">
      <w:rPr>
        <w:rStyle w:val="apple-style-span"/>
        <w:rFonts w:ascii="Times New Roman" w:hAnsi="Times New Roman" w:cs="Times New Roman"/>
        <w:sz w:val="22"/>
        <w:szCs w:val="22"/>
        <w:shd w:val="clear" w:color="auto" w:fill="FFFFFF"/>
      </w:rPr>
      <w:t>38184-122</w:t>
    </w:r>
  </w:p>
  <w:p w14:paraId="38324811" w14:textId="77777777" w:rsidR="00127503" w:rsidRPr="00883692" w:rsidRDefault="00127503" w:rsidP="00B11ABE">
    <w:pPr>
      <w:pStyle w:val="Rodap1"/>
      <w:rPr>
        <w:rFonts w:ascii="Times New Roman" w:hAnsi="Times New Roman" w:cs="Times New Roman"/>
        <w:sz w:val="22"/>
        <w:szCs w:val="22"/>
      </w:rPr>
    </w:pPr>
    <w:r w:rsidRPr="00883692">
      <w:rPr>
        <w:rFonts w:ascii="Times New Roman" w:hAnsi="Times New Roman" w:cs="Times New Roman"/>
        <w:sz w:val="22"/>
        <w:szCs w:val="22"/>
      </w:rPr>
      <w:t>Fone/Fax: (34)36</w:t>
    </w:r>
    <w:r>
      <w:rPr>
        <w:rFonts w:ascii="Times New Roman" w:hAnsi="Times New Roman" w:cs="Times New Roman"/>
        <w:sz w:val="22"/>
        <w:szCs w:val="22"/>
      </w:rPr>
      <w:t>12-6900</w:t>
    </w:r>
  </w:p>
  <w:p w14:paraId="7C038399" w14:textId="77777777" w:rsidR="00127503" w:rsidRPr="00883692" w:rsidRDefault="00127503" w:rsidP="00B11ABE">
    <w:pPr>
      <w:pStyle w:val="Rodap1"/>
      <w:rPr>
        <w:rFonts w:ascii="Times New Roman" w:hAnsi="Times New Roman" w:cs="Times New Roman"/>
        <w:sz w:val="22"/>
        <w:szCs w:val="22"/>
      </w:rPr>
    </w:pPr>
    <w:hyperlink r:id="rId1" w:history="1">
      <w:r w:rsidRPr="001C1D89">
        <w:rPr>
          <w:rStyle w:val="Hyperlink"/>
          <w:rFonts w:ascii="Times New Roman" w:hAnsi="Times New Roman" w:cs="Times New Roman"/>
          <w:sz w:val="22"/>
          <w:szCs w:val="22"/>
        </w:rPr>
        <w:t>www.araxa.mg.leg.br</w:t>
      </w:r>
    </w:hyperlink>
    <w:r>
      <w:rPr>
        <w:rFonts w:ascii="Times New Roman" w:hAnsi="Times New Roman" w:cs="Times New Roman"/>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BAF0E" w14:textId="77777777" w:rsidR="00BD024D" w:rsidRDefault="00BD024D">
      <w:r>
        <w:separator/>
      </w:r>
    </w:p>
  </w:footnote>
  <w:footnote w:type="continuationSeparator" w:id="0">
    <w:p w14:paraId="7E0E8901" w14:textId="77777777" w:rsidR="00BD024D" w:rsidRDefault="00BD02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10DD7" w14:textId="77777777" w:rsidR="00127503" w:rsidRDefault="00000000">
    <w:pPr>
      <w:pStyle w:val="Cabealho"/>
    </w:pPr>
    <w:r>
      <w:rPr>
        <w:noProof/>
      </w:rPr>
      <w:pict w14:anchorId="01F62B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32925" o:spid="_x0000_s1025" type="#_x0000_t75" style="position:absolute;margin-left:0;margin-top:0;width:452.25pt;height:388.2pt;z-index:-251659776;mso-position-horizontal:center;mso-position-horizontal-relative:margin;mso-position-vertical:center;mso-position-vertical-relative:margin" o:allowincell="f">
          <v:imagedata r:id="rId1" o:title="brasao_0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79E68" w14:textId="77777777" w:rsidR="00127503" w:rsidRPr="00883692" w:rsidRDefault="00000000" w:rsidP="00883692">
    <w:pPr>
      <w:pStyle w:val="Cabealho1"/>
      <w:rPr>
        <w:rFonts w:ascii="Times New Roman" w:hAnsi="Times New Roman" w:cs="Times New Roman"/>
        <w:b w:val="0"/>
        <w:sz w:val="30"/>
        <w:szCs w:val="30"/>
      </w:rPr>
    </w:pPr>
    <w:r>
      <w:rPr>
        <w:rFonts w:ascii="Times New Roman" w:hAnsi="Times New Roman" w:cs="Times New Roman"/>
        <w:b w:val="0"/>
        <w:noProof/>
        <w:sz w:val="32"/>
        <w:szCs w:val="32"/>
      </w:rPr>
      <w:pict w14:anchorId="2A84B6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32926" o:spid="_x0000_s1026" type="#_x0000_t75" style="position:absolute;left:0;text-align:left;margin-left:0;margin-top:0;width:452.25pt;height:388.2pt;z-index:-251658752;mso-position-horizontal:center;mso-position-horizontal-relative:margin;mso-position-vertical:center;mso-position-vertical-relative:margin" o:allowincell="f">
          <v:imagedata r:id="rId1" o:title="brasao_01" gain="19661f" blacklevel="22938f"/>
          <w10:wrap anchorx="margin" anchory="margin"/>
        </v:shape>
      </w:pict>
    </w:r>
    <w:r w:rsidR="00127503" w:rsidRPr="00883692">
      <w:rPr>
        <w:rFonts w:ascii="Times New Roman" w:hAnsi="Times New Roman" w:cs="Times New Roman"/>
        <w:b w:val="0"/>
        <w:sz w:val="30"/>
        <w:szCs w:val="30"/>
      </w:rPr>
      <w:t>CÂMARA MUNICIPAL DE ARAXÁ - ESTADO DE MINAS GERAIS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1755C" w14:textId="77777777" w:rsidR="00127503" w:rsidRDefault="00000000">
    <w:pPr>
      <w:pStyle w:val="Cabealho"/>
    </w:pPr>
    <w:r>
      <w:rPr>
        <w:noProof/>
      </w:rPr>
      <w:pict w14:anchorId="7D3883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32924" o:spid="_x0000_s1027" type="#_x0000_t75" style="position:absolute;margin-left:0;margin-top:0;width:452.25pt;height:388.2pt;z-index:-251657728;mso-position-horizontal:center;mso-position-horizontal-relative:margin;mso-position-vertical:center;mso-position-vertical-relative:margin" o:allowincell="f">
          <v:imagedata r:id="rId1" o:title="brasao_01"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503"/>
    <w:rsid w:val="00127503"/>
    <w:rsid w:val="001A488A"/>
    <w:rsid w:val="00247711"/>
    <w:rsid w:val="002E0430"/>
    <w:rsid w:val="003B6DAB"/>
    <w:rsid w:val="003E1947"/>
    <w:rsid w:val="00693030"/>
    <w:rsid w:val="00BD024D"/>
    <w:rsid w:val="00D73100"/>
    <w:rsid w:val="00E52C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D20F2"/>
  <w15:chartTrackingRefBased/>
  <w15:docId w15:val="{77AEFCC6-E83A-46B8-86FE-7DC06ED10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503"/>
    <w:pPr>
      <w:widowControl w:val="0"/>
      <w:suppressAutoHyphens/>
      <w:autoSpaceDN w:val="0"/>
      <w:spacing w:after="0" w:line="240" w:lineRule="auto"/>
      <w:textAlignment w:val="baseline"/>
    </w:pPr>
    <w:rPr>
      <w:rFonts w:ascii="Times" w:eastAsia="DejaVu Sans" w:hAnsi="Times" w:cs="DejaVu Sans"/>
      <w:kern w:val="3"/>
      <w:sz w:val="24"/>
      <w:szCs w:val="24"/>
      <w:lang w:eastAsia="pt-BR"/>
      <w14:ligatures w14:val="none"/>
    </w:rPr>
  </w:style>
  <w:style w:type="paragraph" w:styleId="Ttulo1">
    <w:name w:val="heading 1"/>
    <w:basedOn w:val="Normal"/>
    <w:next w:val="Normal"/>
    <w:link w:val="Ttulo1Char"/>
    <w:uiPriority w:val="9"/>
    <w:qFormat/>
    <w:rsid w:val="00127503"/>
    <w:pPr>
      <w:keepNext/>
      <w:keepLines/>
      <w:widowControl/>
      <w:suppressAutoHyphens w:val="0"/>
      <w:autoSpaceDN/>
      <w:spacing w:before="360" w:after="80" w:line="259" w:lineRule="auto"/>
      <w:textAlignment w:val="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Ttulo2">
    <w:name w:val="heading 2"/>
    <w:basedOn w:val="Normal"/>
    <w:next w:val="Normal"/>
    <w:link w:val="Ttulo2Char"/>
    <w:uiPriority w:val="9"/>
    <w:semiHidden/>
    <w:unhideWhenUsed/>
    <w:qFormat/>
    <w:rsid w:val="00127503"/>
    <w:pPr>
      <w:keepNext/>
      <w:keepLines/>
      <w:widowControl/>
      <w:suppressAutoHyphens w:val="0"/>
      <w:autoSpaceDN/>
      <w:spacing w:before="160" w:after="80" w:line="259" w:lineRule="auto"/>
      <w:textAlignment w:val="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127503"/>
    <w:pPr>
      <w:keepNext/>
      <w:keepLines/>
      <w:widowControl/>
      <w:suppressAutoHyphens w:val="0"/>
      <w:autoSpaceDN/>
      <w:spacing w:before="160" w:after="80" w:line="259" w:lineRule="auto"/>
      <w:textAlignment w:val="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127503"/>
    <w:pPr>
      <w:keepNext/>
      <w:keepLines/>
      <w:widowControl/>
      <w:suppressAutoHyphens w:val="0"/>
      <w:autoSpaceDN/>
      <w:spacing w:before="80" w:after="40" w:line="259" w:lineRule="auto"/>
      <w:textAlignment w:val="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Ttulo5">
    <w:name w:val="heading 5"/>
    <w:basedOn w:val="Normal"/>
    <w:next w:val="Normal"/>
    <w:link w:val="Ttulo5Char"/>
    <w:uiPriority w:val="9"/>
    <w:semiHidden/>
    <w:unhideWhenUsed/>
    <w:qFormat/>
    <w:rsid w:val="00127503"/>
    <w:pPr>
      <w:keepNext/>
      <w:keepLines/>
      <w:widowControl/>
      <w:suppressAutoHyphens w:val="0"/>
      <w:autoSpaceDN/>
      <w:spacing w:before="80" w:after="40" w:line="259" w:lineRule="auto"/>
      <w:textAlignment w:val="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Ttulo6">
    <w:name w:val="heading 6"/>
    <w:basedOn w:val="Normal"/>
    <w:next w:val="Normal"/>
    <w:link w:val="Ttulo6Char"/>
    <w:uiPriority w:val="9"/>
    <w:semiHidden/>
    <w:unhideWhenUsed/>
    <w:qFormat/>
    <w:rsid w:val="00127503"/>
    <w:pPr>
      <w:keepNext/>
      <w:keepLines/>
      <w:widowControl/>
      <w:suppressAutoHyphens w:val="0"/>
      <w:autoSpaceDN/>
      <w:spacing w:before="40" w:line="259" w:lineRule="auto"/>
      <w:textAlignment w:val="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Ttulo7">
    <w:name w:val="heading 7"/>
    <w:basedOn w:val="Normal"/>
    <w:next w:val="Normal"/>
    <w:link w:val="Ttulo7Char"/>
    <w:uiPriority w:val="9"/>
    <w:semiHidden/>
    <w:unhideWhenUsed/>
    <w:qFormat/>
    <w:rsid w:val="00127503"/>
    <w:pPr>
      <w:keepNext/>
      <w:keepLines/>
      <w:widowControl/>
      <w:suppressAutoHyphens w:val="0"/>
      <w:autoSpaceDN/>
      <w:spacing w:before="40" w:line="259" w:lineRule="auto"/>
      <w:textAlignment w:val="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tulo8">
    <w:name w:val="heading 8"/>
    <w:basedOn w:val="Normal"/>
    <w:next w:val="Normal"/>
    <w:link w:val="Ttulo8Char"/>
    <w:uiPriority w:val="9"/>
    <w:semiHidden/>
    <w:unhideWhenUsed/>
    <w:qFormat/>
    <w:rsid w:val="00127503"/>
    <w:pPr>
      <w:keepNext/>
      <w:keepLines/>
      <w:widowControl/>
      <w:suppressAutoHyphens w:val="0"/>
      <w:autoSpaceDN/>
      <w:spacing w:line="259" w:lineRule="auto"/>
      <w:textAlignment w:val="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tulo9">
    <w:name w:val="heading 9"/>
    <w:basedOn w:val="Normal"/>
    <w:next w:val="Normal"/>
    <w:link w:val="Ttulo9Char"/>
    <w:uiPriority w:val="9"/>
    <w:semiHidden/>
    <w:unhideWhenUsed/>
    <w:qFormat/>
    <w:rsid w:val="00127503"/>
    <w:pPr>
      <w:keepNext/>
      <w:keepLines/>
      <w:widowControl/>
      <w:suppressAutoHyphens w:val="0"/>
      <w:autoSpaceDN/>
      <w:spacing w:line="259" w:lineRule="auto"/>
      <w:textAlignment w:val="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27503"/>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127503"/>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127503"/>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127503"/>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127503"/>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127503"/>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127503"/>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127503"/>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127503"/>
    <w:rPr>
      <w:rFonts w:eastAsiaTheme="majorEastAsia" w:cstheme="majorBidi"/>
      <w:color w:val="272727" w:themeColor="text1" w:themeTint="D8"/>
    </w:rPr>
  </w:style>
  <w:style w:type="paragraph" w:styleId="Ttulo">
    <w:name w:val="Title"/>
    <w:basedOn w:val="Normal"/>
    <w:next w:val="Normal"/>
    <w:link w:val="TtuloChar"/>
    <w:uiPriority w:val="10"/>
    <w:qFormat/>
    <w:rsid w:val="00127503"/>
    <w:pPr>
      <w:widowControl/>
      <w:suppressAutoHyphens w:val="0"/>
      <w:autoSpaceDN/>
      <w:spacing w:after="80"/>
      <w:contextualSpacing/>
      <w:textAlignment w:val="auto"/>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basedOn w:val="Fontepargpadro"/>
    <w:link w:val="Ttulo"/>
    <w:uiPriority w:val="10"/>
    <w:rsid w:val="0012750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127503"/>
    <w:pPr>
      <w:widowControl/>
      <w:numPr>
        <w:ilvl w:val="1"/>
      </w:numPr>
      <w:suppressAutoHyphens w:val="0"/>
      <w:autoSpaceDN/>
      <w:spacing w:after="160" w:line="259" w:lineRule="auto"/>
      <w:textAlignment w:val="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Fontepargpadro"/>
    <w:link w:val="Subttulo"/>
    <w:uiPriority w:val="11"/>
    <w:rsid w:val="00127503"/>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127503"/>
    <w:pPr>
      <w:widowControl/>
      <w:suppressAutoHyphens w:val="0"/>
      <w:autoSpaceDN/>
      <w:spacing w:before="160" w:after="160" w:line="259" w:lineRule="auto"/>
      <w:jc w:val="center"/>
      <w:textAlignment w:val="auto"/>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oChar">
    <w:name w:val="Citação Char"/>
    <w:basedOn w:val="Fontepargpadro"/>
    <w:link w:val="Citao"/>
    <w:uiPriority w:val="29"/>
    <w:rsid w:val="00127503"/>
    <w:rPr>
      <w:i/>
      <w:iCs/>
      <w:color w:val="404040" w:themeColor="text1" w:themeTint="BF"/>
    </w:rPr>
  </w:style>
  <w:style w:type="paragraph" w:styleId="PargrafodaLista">
    <w:name w:val="List Paragraph"/>
    <w:basedOn w:val="Normal"/>
    <w:uiPriority w:val="34"/>
    <w:qFormat/>
    <w:rsid w:val="00127503"/>
    <w:pPr>
      <w:widowControl/>
      <w:suppressAutoHyphens w:val="0"/>
      <w:autoSpaceDN/>
      <w:spacing w:after="160" w:line="259" w:lineRule="auto"/>
      <w:ind w:left="720"/>
      <w:contextualSpacing/>
      <w:textAlignment w:val="auto"/>
    </w:pPr>
    <w:rPr>
      <w:rFonts w:asciiTheme="minorHAnsi" w:eastAsiaTheme="minorHAnsi" w:hAnsiTheme="minorHAnsi" w:cstheme="minorBidi"/>
      <w:kern w:val="2"/>
      <w:sz w:val="22"/>
      <w:szCs w:val="22"/>
      <w:lang w:eastAsia="en-US"/>
      <w14:ligatures w14:val="standardContextual"/>
    </w:rPr>
  </w:style>
  <w:style w:type="character" w:styleId="nfaseIntensa">
    <w:name w:val="Intense Emphasis"/>
    <w:basedOn w:val="Fontepargpadro"/>
    <w:uiPriority w:val="21"/>
    <w:qFormat/>
    <w:rsid w:val="00127503"/>
    <w:rPr>
      <w:i/>
      <w:iCs/>
      <w:color w:val="2F5496" w:themeColor="accent1" w:themeShade="BF"/>
    </w:rPr>
  </w:style>
  <w:style w:type="paragraph" w:styleId="CitaoIntensa">
    <w:name w:val="Intense Quote"/>
    <w:basedOn w:val="Normal"/>
    <w:next w:val="Normal"/>
    <w:link w:val="CitaoIntensaChar"/>
    <w:uiPriority w:val="30"/>
    <w:qFormat/>
    <w:rsid w:val="00127503"/>
    <w:pPr>
      <w:widowControl/>
      <w:pBdr>
        <w:top w:val="single" w:sz="4" w:space="10" w:color="2F5496" w:themeColor="accent1" w:themeShade="BF"/>
        <w:bottom w:val="single" w:sz="4" w:space="10" w:color="2F5496" w:themeColor="accent1" w:themeShade="BF"/>
      </w:pBdr>
      <w:suppressAutoHyphens w:val="0"/>
      <w:autoSpaceDN/>
      <w:spacing w:before="360" w:after="360" w:line="259" w:lineRule="auto"/>
      <w:ind w:left="864" w:right="864"/>
      <w:jc w:val="center"/>
      <w:textAlignment w:val="auto"/>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CitaoIntensaChar">
    <w:name w:val="Citação Intensa Char"/>
    <w:basedOn w:val="Fontepargpadro"/>
    <w:link w:val="CitaoIntensa"/>
    <w:uiPriority w:val="30"/>
    <w:rsid w:val="00127503"/>
    <w:rPr>
      <w:i/>
      <w:iCs/>
      <w:color w:val="2F5496" w:themeColor="accent1" w:themeShade="BF"/>
    </w:rPr>
  </w:style>
  <w:style w:type="character" w:styleId="RefernciaIntensa">
    <w:name w:val="Intense Reference"/>
    <w:basedOn w:val="Fontepargpadro"/>
    <w:uiPriority w:val="32"/>
    <w:qFormat/>
    <w:rsid w:val="00127503"/>
    <w:rPr>
      <w:b/>
      <w:bCs/>
      <w:smallCaps/>
      <w:color w:val="2F5496" w:themeColor="accent1" w:themeShade="BF"/>
      <w:spacing w:val="5"/>
    </w:rPr>
  </w:style>
  <w:style w:type="paragraph" w:customStyle="1" w:styleId="Cabealho1">
    <w:name w:val="Cabeçalho1"/>
    <w:basedOn w:val="Normal"/>
    <w:rsid w:val="00127503"/>
    <w:pPr>
      <w:suppressLineNumbers/>
      <w:tabs>
        <w:tab w:val="center" w:pos="4818"/>
        <w:tab w:val="right" w:pos="9637"/>
      </w:tabs>
      <w:jc w:val="center"/>
    </w:pPr>
    <w:rPr>
      <w:rFonts w:ascii="Arial" w:hAnsi="Arial"/>
      <w:b/>
      <w:bCs/>
      <w:sz w:val="20"/>
      <w:szCs w:val="20"/>
    </w:rPr>
  </w:style>
  <w:style w:type="paragraph" w:customStyle="1" w:styleId="Rodap1">
    <w:name w:val="Rodapé1"/>
    <w:basedOn w:val="Normal"/>
    <w:rsid w:val="00127503"/>
    <w:pPr>
      <w:suppressLineNumbers/>
      <w:tabs>
        <w:tab w:val="center" w:pos="4818"/>
        <w:tab w:val="right" w:pos="9637"/>
      </w:tabs>
      <w:jc w:val="center"/>
    </w:pPr>
    <w:rPr>
      <w:rFonts w:ascii="Arial" w:hAnsi="Arial"/>
      <w:b/>
      <w:bCs/>
      <w:sz w:val="20"/>
      <w:szCs w:val="20"/>
    </w:rPr>
  </w:style>
  <w:style w:type="paragraph" w:customStyle="1" w:styleId="HorizontalLine">
    <w:name w:val="Horizontal Line"/>
    <w:basedOn w:val="Normal"/>
    <w:next w:val="Normal"/>
    <w:rsid w:val="00127503"/>
    <w:pPr>
      <w:suppressLineNumbers/>
      <w:pBdr>
        <w:bottom w:val="double" w:sz="2" w:space="0" w:color="808080"/>
      </w:pBdr>
      <w:spacing w:after="283"/>
      <w:jc w:val="center"/>
    </w:pPr>
    <w:rPr>
      <w:rFonts w:ascii="Arial" w:hAnsi="Arial"/>
      <w:b/>
      <w:bCs/>
      <w:sz w:val="12"/>
      <w:szCs w:val="12"/>
    </w:rPr>
  </w:style>
  <w:style w:type="paragraph" w:styleId="Cabealho">
    <w:name w:val="header"/>
    <w:basedOn w:val="Normal"/>
    <w:link w:val="CabealhoChar"/>
    <w:uiPriority w:val="99"/>
    <w:semiHidden/>
    <w:unhideWhenUsed/>
    <w:rsid w:val="00127503"/>
    <w:pPr>
      <w:tabs>
        <w:tab w:val="center" w:pos="4252"/>
        <w:tab w:val="right" w:pos="8504"/>
      </w:tabs>
    </w:pPr>
  </w:style>
  <w:style w:type="character" w:customStyle="1" w:styleId="CabealhoChar">
    <w:name w:val="Cabeçalho Char"/>
    <w:basedOn w:val="Fontepargpadro"/>
    <w:link w:val="Cabealho"/>
    <w:uiPriority w:val="99"/>
    <w:semiHidden/>
    <w:rsid w:val="00127503"/>
    <w:rPr>
      <w:rFonts w:ascii="Times" w:eastAsia="DejaVu Sans" w:hAnsi="Times" w:cs="DejaVu Sans"/>
      <w:kern w:val="3"/>
      <w:sz w:val="24"/>
      <w:szCs w:val="24"/>
      <w:lang w:eastAsia="pt-BR"/>
      <w14:ligatures w14:val="none"/>
    </w:rPr>
  </w:style>
  <w:style w:type="character" w:customStyle="1" w:styleId="apple-style-span">
    <w:name w:val="apple-style-span"/>
    <w:basedOn w:val="Fontepargpadro"/>
    <w:rsid w:val="00127503"/>
  </w:style>
  <w:style w:type="character" w:styleId="Hyperlink">
    <w:name w:val="Hyperlink"/>
    <w:uiPriority w:val="99"/>
    <w:unhideWhenUsed/>
    <w:rsid w:val="001275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www.araxa.mg.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690</Words>
  <Characters>3731</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IFR. Rocha</dc:creator>
  <cp:keywords/>
  <dc:description/>
  <cp:lastModifiedBy>Cintia Alves</cp:lastModifiedBy>
  <cp:revision>2</cp:revision>
  <cp:lastPrinted>2026-03-03T17:02:00Z</cp:lastPrinted>
  <dcterms:created xsi:type="dcterms:W3CDTF">2026-03-09T20:30:00Z</dcterms:created>
  <dcterms:modified xsi:type="dcterms:W3CDTF">2026-03-09T20:30:00Z</dcterms:modified>
</cp:coreProperties>
</file>