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58A0" w14:textId="47AB4F1B" w:rsidR="00616DA8" w:rsidRPr="00AC5B71" w:rsidRDefault="00000000">
      <w:pPr>
        <w:spacing w:after="76" w:line="259" w:lineRule="auto"/>
        <w:ind w:left="0" w:right="3" w:firstLine="0"/>
        <w:jc w:val="center"/>
      </w:pPr>
      <w:r w:rsidRPr="00AC5B71">
        <w:rPr>
          <w:b/>
          <w:u w:color="000000"/>
        </w:rPr>
        <w:t xml:space="preserve">PROJETO DE LEI Nº </w:t>
      </w:r>
      <w:r w:rsidR="00AC5B71">
        <w:rPr>
          <w:b/>
          <w:u w:color="000000"/>
        </w:rPr>
        <w:t>40</w:t>
      </w:r>
      <w:r w:rsidRPr="00AC5B71">
        <w:rPr>
          <w:b/>
          <w:u w:color="000000"/>
        </w:rPr>
        <w:t>/2026</w:t>
      </w:r>
      <w:r w:rsidRPr="00AC5B71">
        <w:rPr>
          <w:b/>
        </w:rPr>
        <w:t xml:space="preserve"> </w:t>
      </w:r>
    </w:p>
    <w:p w14:paraId="59C0981D" w14:textId="77777777" w:rsidR="00616DA8" w:rsidRDefault="00000000">
      <w:pPr>
        <w:spacing w:after="115" w:line="259" w:lineRule="auto"/>
        <w:ind w:left="2269" w:firstLine="0"/>
      </w:pPr>
      <w:r>
        <w:rPr>
          <w:b/>
        </w:rPr>
        <w:t xml:space="preserve"> </w:t>
      </w:r>
    </w:p>
    <w:p w14:paraId="4C986DE5" w14:textId="77777777" w:rsidR="00616DA8" w:rsidRDefault="00000000">
      <w:pPr>
        <w:spacing w:after="98" w:line="238" w:lineRule="auto"/>
        <w:ind w:left="2269" w:firstLine="0"/>
        <w:jc w:val="both"/>
      </w:pPr>
      <w:r>
        <w:rPr>
          <w:b/>
        </w:rPr>
        <w:t>Dispõe sobre o Projeto “ICMS do Bem” que trata sobre a destinação de parte dos recursos provenientes do ICMS Ecológico do Estado de Minas Gerais para apoio a ações de conservação ambiental desenvolvidas pelas Organizações da Sociedade Civil de Interesse Público – OSCIP no Município de Araxá/MG, e dá outras providências.</w:t>
      </w:r>
      <w:r>
        <w:t xml:space="preserve"> </w:t>
      </w:r>
    </w:p>
    <w:p w14:paraId="0EBCD079" w14:textId="77777777" w:rsidR="00616DA8" w:rsidRDefault="00000000">
      <w:pPr>
        <w:spacing w:after="72" w:line="259" w:lineRule="auto"/>
        <w:ind w:left="0" w:firstLine="0"/>
      </w:pPr>
      <w:r>
        <w:rPr>
          <w:b/>
        </w:rPr>
        <w:t xml:space="preserve"> </w:t>
      </w:r>
    </w:p>
    <w:p w14:paraId="7C96631B" w14:textId="77777777" w:rsidR="00616DA8" w:rsidRDefault="00000000">
      <w:pPr>
        <w:ind w:left="-5" w:right="12"/>
      </w:pPr>
      <w:r w:rsidRPr="00AC5B71">
        <w:rPr>
          <w:b/>
          <w:bCs/>
        </w:rPr>
        <w:t>A CÂMARA MUNICIPAL DE ARAXÁ</w:t>
      </w:r>
      <w:r>
        <w:t xml:space="preserve">, através de proposição do Vereador </w:t>
      </w:r>
      <w:r w:rsidRPr="00AC5B71">
        <w:rPr>
          <w:b/>
          <w:bCs/>
        </w:rPr>
        <w:t>RODRIGO EDUARDO DA SILVA – INVESTIGADOR RODRIGO</w:t>
      </w:r>
      <w:r>
        <w:t xml:space="preserve">, com a Graça de Deus, aprova, e eu, Prefeito Municipal, sanciono e promulgo a seguinte Lei: </w:t>
      </w:r>
    </w:p>
    <w:p w14:paraId="30650902" w14:textId="77777777" w:rsidR="00616DA8" w:rsidRDefault="00000000">
      <w:pPr>
        <w:spacing w:after="0" w:line="259" w:lineRule="auto"/>
        <w:ind w:left="0" w:firstLine="0"/>
      </w:pPr>
      <w:r>
        <w:t xml:space="preserve"> </w:t>
      </w:r>
    </w:p>
    <w:p w14:paraId="2F17517E" w14:textId="77777777" w:rsidR="00616DA8" w:rsidRDefault="00000000">
      <w:pPr>
        <w:pStyle w:val="Ttulo1"/>
        <w:spacing w:after="77"/>
        <w:ind w:left="0" w:right="0" w:firstLine="0"/>
      </w:pPr>
      <w:r>
        <w:rPr>
          <w:b w:val="0"/>
        </w:rPr>
        <w:t>Art. 1º</w:t>
      </w:r>
      <w:r>
        <w:rPr>
          <w:b w:val="0"/>
          <w:u w:val="none"/>
        </w:rPr>
        <w:t xml:space="preserve"> </w:t>
      </w:r>
    </w:p>
    <w:p w14:paraId="2C9E185B" w14:textId="77777777" w:rsidR="00616DA8" w:rsidRDefault="00000000">
      <w:pPr>
        <w:ind w:left="-5" w:right="12"/>
      </w:pPr>
      <w:r>
        <w:t xml:space="preserve">Fica autorizado o Poder Executivo Municipal a destinar parte dos recursos provenientes do critério ambiental do ICMS Ecológico do Estado de Minas Gerais para apoio às atividades de conservação, proteção ambiental e prestação de serviços ecossistêmicos desenvolvidas pelas Organizações da Sociedade Civil de Interesse Público – OSCIP, situadas no Município de Araxá/MG. </w:t>
      </w:r>
    </w:p>
    <w:p w14:paraId="48191CC5" w14:textId="77777777" w:rsidR="00616DA8" w:rsidRDefault="00000000">
      <w:pPr>
        <w:spacing w:after="0" w:line="259" w:lineRule="auto"/>
        <w:ind w:left="0" w:firstLine="0"/>
      </w:pPr>
      <w:r>
        <w:t xml:space="preserve"> </w:t>
      </w:r>
    </w:p>
    <w:p w14:paraId="067196E0" w14:textId="77777777" w:rsidR="00616DA8" w:rsidRDefault="00000000">
      <w:pPr>
        <w:pStyle w:val="Ttulo1"/>
        <w:ind w:left="-5" w:right="0"/>
      </w:pPr>
      <w:r>
        <w:t>Art. 2º</w:t>
      </w:r>
      <w:r>
        <w:rPr>
          <w:u w:val="none"/>
        </w:rPr>
        <w:t xml:space="preserve"> </w:t>
      </w:r>
    </w:p>
    <w:p w14:paraId="4EB5B2AA" w14:textId="77777777" w:rsidR="00616DA8" w:rsidRDefault="00000000">
      <w:pPr>
        <w:ind w:left="-5" w:right="12"/>
      </w:pPr>
      <w:r>
        <w:t xml:space="preserve">A presente Lei fundamenta-se: </w:t>
      </w:r>
    </w:p>
    <w:p w14:paraId="2B9412CE" w14:textId="77777777" w:rsidR="00616DA8" w:rsidRDefault="00000000">
      <w:pPr>
        <w:numPr>
          <w:ilvl w:val="0"/>
          <w:numId w:val="1"/>
        </w:numPr>
        <w:ind w:right="12"/>
      </w:pPr>
      <w:r>
        <w:t xml:space="preserve">– </w:t>
      </w:r>
      <w:proofErr w:type="gramStart"/>
      <w:r>
        <w:t>no</w:t>
      </w:r>
      <w:proofErr w:type="gramEnd"/>
      <w:r>
        <w:t xml:space="preserve"> </w:t>
      </w:r>
      <w:r>
        <w:rPr>
          <w:b/>
        </w:rPr>
        <w:t>art. 225 da Constituição Federal</w:t>
      </w:r>
      <w:r>
        <w:t xml:space="preserve">, que estabelece o direito de todos ao meio ambiente ecologicamente equilibrado; </w:t>
      </w:r>
    </w:p>
    <w:p w14:paraId="6AA223A7" w14:textId="77777777" w:rsidR="00616DA8" w:rsidRDefault="00000000">
      <w:pPr>
        <w:numPr>
          <w:ilvl w:val="0"/>
          <w:numId w:val="1"/>
        </w:numPr>
        <w:ind w:right="12"/>
      </w:pPr>
      <w:r>
        <w:t xml:space="preserve">– </w:t>
      </w:r>
      <w:proofErr w:type="gramStart"/>
      <w:r>
        <w:t>no</w:t>
      </w:r>
      <w:proofErr w:type="gramEnd"/>
      <w:r>
        <w:t xml:space="preserve"> </w:t>
      </w:r>
      <w:r>
        <w:rPr>
          <w:b/>
        </w:rPr>
        <w:t>art. 158, inciso IV, da Constituição Federal</w:t>
      </w:r>
      <w:r>
        <w:t xml:space="preserve">, que disciplina a repartição do ICMS entre Estados e Municípios; </w:t>
      </w:r>
    </w:p>
    <w:p w14:paraId="693EAE0F" w14:textId="77777777" w:rsidR="00616DA8" w:rsidRDefault="00000000">
      <w:pPr>
        <w:numPr>
          <w:ilvl w:val="0"/>
          <w:numId w:val="1"/>
        </w:numPr>
        <w:ind w:right="12"/>
      </w:pPr>
      <w:r>
        <w:t xml:space="preserve">– </w:t>
      </w:r>
      <w:proofErr w:type="gramStart"/>
      <w:r>
        <w:t>na</w:t>
      </w:r>
      <w:proofErr w:type="gramEnd"/>
      <w:r>
        <w:t xml:space="preserve"> </w:t>
      </w:r>
      <w:r>
        <w:rPr>
          <w:b/>
        </w:rPr>
        <w:t>Lei Federal nº 9.985/2000</w:t>
      </w:r>
      <w:r>
        <w:t xml:space="preserve">, que institui o Sistema Nacional de Unidades de Conservação da Natureza – SNUC; </w:t>
      </w:r>
    </w:p>
    <w:p w14:paraId="24A860F9" w14:textId="77777777" w:rsidR="00616DA8" w:rsidRDefault="00000000">
      <w:pPr>
        <w:numPr>
          <w:ilvl w:val="0"/>
          <w:numId w:val="1"/>
        </w:numPr>
        <w:ind w:right="12"/>
      </w:pPr>
      <w:r>
        <w:t xml:space="preserve">– </w:t>
      </w:r>
      <w:proofErr w:type="gramStart"/>
      <w:r>
        <w:t>na</w:t>
      </w:r>
      <w:proofErr w:type="gramEnd"/>
      <w:r>
        <w:t xml:space="preserve"> </w:t>
      </w:r>
      <w:r>
        <w:rPr>
          <w:b/>
        </w:rPr>
        <w:t>Lei Federal nº 9.790/1999</w:t>
      </w:r>
      <w:r>
        <w:t xml:space="preserve">, que dispõe sobre a qualificação de entidades como Organização da Sociedade Civil de Interesse Público – OSCIP; </w:t>
      </w:r>
    </w:p>
    <w:p w14:paraId="6A9CFD08" w14:textId="77777777" w:rsidR="00616DA8" w:rsidRDefault="00000000">
      <w:pPr>
        <w:numPr>
          <w:ilvl w:val="0"/>
          <w:numId w:val="1"/>
        </w:numPr>
        <w:ind w:right="12"/>
      </w:pPr>
      <w:r>
        <w:t xml:space="preserve">– </w:t>
      </w:r>
      <w:proofErr w:type="gramStart"/>
      <w:r>
        <w:t>na</w:t>
      </w:r>
      <w:proofErr w:type="gramEnd"/>
      <w:r>
        <w:t xml:space="preserve"> </w:t>
      </w:r>
      <w:r>
        <w:rPr>
          <w:b/>
        </w:rPr>
        <w:t>Lei Federal nº 13.019/2014</w:t>
      </w:r>
      <w:r>
        <w:t xml:space="preserve">, que estabelece o regime jurídico das parcerias entre a administração pública e organizações da sociedade civil; </w:t>
      </w:r>
    </w:p>
    <w:p w14:paraId="23A40E2D" w14:textId="77777777" w:rsidR="00616DA8" w:rsidRDefault="00000000">
      <w:pPr>
        <w:numPr>
          <w:ilvl w:val="0"/>
          <w:numId w:val="1"/>
        </w:numPr>
        <w:ind w:right="12"/>
      </w:pPr>
      <w:r>
        <w:t xml:space="preserve">– </w:t>
      </w:r>
      <w:proofErr w:type="gramStart"/>
      <w:r>
        <w:t>na</w:t>
      </w:r>
      <w:proofErr w:type="gramEnd"/>
      <w:r>
        <w:t xml:space="preserve"> </w:t>
      </w:r>
      <w:r>
        <w:rPr>
          <w:b/>
        </w:rPr>
        <w:t>Lei Estadual nº 18.030/2009</w:t>
      </w:r>
      <w:r>
        <w:t xml:space="preserve">, que dispõe sobre os critérios de distribuição da parcela do ICMS pertencente aos Municípios do Estado de Minas Gerais, incluindo o critério ambiental. </w:t>
      </w:r>
    </w:p>
    <w:p w14:paraId="67C087E5" w14:textId="77777777" w:rsidR="00616DA8" w:rsidRDefault="00000000">
      <w:pPr>
        <w:spacing w:after="0" w:line="259" w:lineRule="auto"/>
        <w:ind w:left="0" w:firstLine="0"/>
      </w:pPr>
      <w:r>
        <w:t xml:space="preserve"> </w:t>
      </w:r>
    </w:p>
    <w:p w14:paraId="602A5B31" w14:textId="77777777" w:rsidR="00616DA8" w:rsidRDefault="00000000">
      <w:pPr>
        <w:pStyle w:val="Ttulo1"/>
        <w:ind w:left="-5" w:right="0"/>
      </w:pPr>
      <w:r>
        <w:t>Art. 3º</w:t>
      </w:r>
      <w:r>
        <w:rPr>
          <w:u w:val="none"/>
        </w:rPr>
        <w:t xml:space="preserve"> </w:t>
      </w:r>
    </w:p>
    <w:p w14:paraId="53F9626E" w14:textId="77777777" w:rsidR="00616DA8" w:rsidRDefault="00000000">
      <w:pPr>
        <w:spacing w:after="85"/>
        <w:ind w:left="-5"/>
      </w:pPr>
      <w:r>
        <w:t xml:space="preserve">O Poder Executivo poderá destinar </w:t>
      </w:r>
      <w:r>
        <w:rPr>
          <w:b/>
        </w:rPr>
        <w:t>até 30% (trinta por cento) do incremento financeiro recebido pelo Município em razão do critério ambiental do ICMS Ecológico</w:t>
      </w:r>
      <w:r>
        <w:t xml:space="preserve">, conforme metodologia de cálculo estabelecida pela legislação estadual vigente. </w:t>
      </w:r>
    </w:p>
    <w:p w14:paraId="21420AED" w14:textId="77777777" w:rsidR="00616DA8" w:rsidRDefault="00000000">
      <w:pPr>
        <w:spacing w:after="61"/>
        <w:ind w:left="-5" w:right="12"/>
      </w:pPr>
      <w:r>
        <w:lastRenderedPageBreak/>
        <w:t>Parágrafo único. O percentual previsto neste artigo incidirá exclusivamente sobre o</w:t>
      </w:r>
      <w:r>
        <w:rPr>
          <w:b/>
        </w:rPr>
        <w:t xml:space="preserve"> </w:t>
      </w:r>
      <w:r>
        <w:t>incremento decorrente do critério ambiental</w:t>
      </w:r>
      <w:r>
        <w:rPr>
          <w:b/>
        </w:rPr>
        <w:t xml:space="preserve">, preservando a autonomia orçamentária municipal. </w:t>
      </w:r>
    </w:p>
    <w:p w14:paraId="7DA9EE53" w14:textId="77777777" w:rsidR="00616DA8" w:rsidRDefault="00000000">
      <w:pPr>
        <w:spacing w:after="0" w:line="259" w:lineRule="auto"/>
        <w:ind w:left="0" w:firstLine="0"/>
      </w:pPr>
      <w:r>
        <w:t xml:space="preserve"> </w:t>
      </w:r>
    </w:p>
    <w:p w14:paraId="7B28EA3F" w14:textId="77777777" w:rsidR="00616DA8" w:rsidRDefault="00000000">
      <w:pPr>
        <w:pStyle w:val="Ttulo1"/>
        <w:ind w:left="-5" w:right="0"/>
      </w:pPr>
      <w:r>
        <w:t>Art. 4º</w:t>
      </w:r>
      <w:r>
        <w:rPr>
          <w:u w:val="none"/>
        </w:rPr>
        <w:t xml:space="preserve"> </w:t>
      </w:r>
    </w:p>
    <w:p w14:paraId="6BAF7C14" w14:textId="77777777" w:rsidR="00616DA8" w:rsidRDefault="00000000">
      <w:pPr>
        <w:ind w:left="-5" w:right="12"/>
      </w:pPr>
      <w:r>
        <w:t xml:space="preserve">Os recursos poderão ser repassados mediante instrumentos jurídicos adequados, tais como: </w:t>
      </w:r>
    </w:p>
    <w:p w14:paraId="4637FB95" w14:textId="77777777" w:rsidR="00616DA8" w:rsidRDefault="00000000">
      <w:pPr>
        <w:numPr>
          <w:ilvl w:val="0"/>
          <w:numId w:val="2"/>
        </w:numPr>
        <w:ind w:right="12" w:hanging="218"/>
      </w:pPr>
      <w:r>
        <w:t xml:space="preserve">– </w:t>
      </w:r>
      <w:proofErr w:type="gramStart"/>
      <w:r>
        <w:t>termo</w:t>
      </w:r>
      <w:proofErr w:type="gramEnd"/>
      <w:r>
        <w:t xml:space="preserve"> de fomento ou termo de colaboração, nos termos da Lei Federal nº 13.019/2014; </w:t>
      </w:r>
    </w:p>
    <w:p w14:paraId="6CBB67C1" w14:textId="77777777" w:rsidR="00616DA8" w:rsidRDefault="00000000">
      <w:pPr>
        <w:numPr>
          <w:ilvl w:val="0"/>
          <w:numId w:val="2"/>
        </w:numPr>
        <w:ind w:right="12" w:hanging="218"/>
      </w:pPr>
      <w:r>
        <w:t xml:space="preserve">– </w:t>
      </w:r>
      <w:proofErr w:type="gramStart"/>
      <w:r>
        <w:t>convênio</w:t>
      </w:r>
      <w:proofErr w:type="gramEnd"/>
      <w:r>
        <w:t xml:space="preserve"> administrativo; </w:t>
      </w:r>
    </w:p>
    <w:p w14:paraId="6C885524" w14:textId="77777777" w:rsidR="00616DA8" w:rsidRDefault="00000000">
      <w:pPr>
        <w:numPr>
          <w:ilvl w:val="0"/>
          <w:numId w:val="2"/>
        </w:numPr>
        <w:spacing w:after="1" w:line="324" w:lineRule="auto"/>
        <w:ind w:right="12" w:hanging="218"/>
      </w:pPr>
      <w:r>
        <w:t xml:space="preserve">– </w:t>
      </w:r>
      <w:proofErr w:type="gramStart"/>
      <w:r>
        <w:t>repasse</w:t>
      </w:r>
      <w:proofErr w:type="gramEnd"/>
      <w:r>
        <w:t xml:space="preserve"> por meio do Fundo Municipal de Meio Ambiente, quando existente; IV – outros instrumentos legalmente admitidos. </w:t>
      </w:r>
    </w:p>
    <w:p w14:paraId="453733FF" w14:textId="77777777" w:rsidR="00616DA8" w:rsidRDefault="00000000">
      <w:pPr>
        <w:spacing w:after="0" w:line="259" w:lineRule="auto"/>
        <w:ind w:left="0" w:firstLine="0"/>
      </w:pPr>
      <w:r>
        <w:t xml:space="preserve"> </w:t>
      </w:r>
    </w:p>
    <w:p w14:paraId="71D2A975" w14:textId="77777777" w:rsidR="00616DA8" w:rsidRDefault="00000000">
      <w:pPr>
        <w:pStyle w:val="Ttulo1"/>
        <w:ind w:left="-5" w:right="0"/>
      </w:pPr>
      <w:r>
        <w:t>Art. 5º</w:t>
      </w:r>
      <w:r>
        <w:rPr>
          <w:u w:val="none"/>
        </w:rPr>
        <w:t xml:space="preserve"> </w:t>
      </w:r>
    </w:p>
    <w:p w14:paraId="39BBD5F4" w14:textId="77777777" w:rsidR="00616DA8" w:rsidRDefault="00000000">
      <w:pPr>
        <w:ind w:left="-5" w:right="12"/>
      </w:pPr>
      <w:r>
        <w:t xml:space="preserve">Os recursos destinados deverão ser aplicados exclusivamente em ações de interesse público ambiental, especialmente: </w:t>
      </w:r>
    </w:p>
    <w:p w14:paraId="760BD392" w14:textId="77777777" w:rsidR="00616DA8" w:rsidRDefault="00000000">
      <w:pPr>
        <w:numPr>
          <w:ilvl w:val="0"/>
          <w:numId w:val="3"/>
        </w:numPr>
        <w:ind w:right="12" w:hanging="391"/>
      </w:pPr>
      <w:r>
        <w:t xml:space="preserve">– </w:t>
      </w:r>
      <w:proofErr w:type="gramStart"/>
      <w:r>
        <w:t>proteção</w:t>
      </w:r>
      <w:proofErr w:type="gramEnd"/>
      <w:r>
        <w:t xml:space="preserve"> da biodiversidade do bioma Cerrado; </w:t>
      </w:r>
    </w:p>
    <w:p w14:paraId="3EC07163" w14:textId="77777777" w:rsidR="00616DA8" w:rsidRDefault="00000000">
      <w:pPr>
        <w:numPr>
          <w:ilvl w:val="0"/>
          <w:numId w:val="3"/>
        </w:numPr>
        <w:ind w:right="12" w:hanging="391"/>
      </w:pPr>
      <w:r>
        <w:t xml:space="preserve">– </w:t>
      </w:r>
      <w:proofErr w:type="gramStart"/>
      <w:r>
        <w:t>preservação</w:t>
      </w:r>
      <w:proofErr w:type="gramEnd"/>
      <w:r>
        <w:t xml:space="preserve"> de nascentes e áreas de recarga hídrica; </w:t>
      </w:r>
    </w:p>
    <w:p w14:paraId="77CACBC9" w14:textId="77777777" w:rsidR="00616DA8" w:rsidRDefault="00000000">
      <w:pPr>
        <w:numPr>
          <w:ilvl w:val="0"/>
          <w:numId w:val="3"/>
        </w:numPr>
        <w:ind w:right="12" w:hanging="391"/>
      </w:pPr>
      <w:r>
        <w:t xml:space="preserve">– </w:t>
      </w:r>
      <w:proofErr w:type="gramStart"/>
      <w:r>
        <w:t>prevenção</w:t>
      </w:r>
      <w:proofErr w:type="gramEnd"/>
      <w:r>
        <w:t xml:space="preserve"> e combate a incêndios florestais; </w:t>
      </w:r>
    </w:p>
    <w:p w14:paraId="39F8E2A5" w14:textId="77777777" w:rsidR="00616DA8" w:rsidRDefault="00000000">
      <w:pPr>
        <w:numPr>
          <w:ilvl w:val="0"/>
          <w:numId w:val="3"/>
        </w:numPr>
        <w:ind w:right="12" w:hanging="391"/>
      </w:pPr>
      <w:r>
        <w:t xml:space="preserve">– </w:t>
      </w:r>
      <w:proofErr w:type="gramStart"/>
      <w:r>
        <w:t>recuperação</w:t>
      </w:r>
      <w:proofErr w:type="gramEnd"/>
      <w:r>
        <w:t xml:space="preserve"> de áreas degradadas; </w:t>
      </w:r>
    </w:p>
    <w:p w14:paraId="1C1B9AE7" w14:textId="77777777" w:rsidR="00616DA8" w:rsidRDefault="00000000">
      <w:pPr>
        <w:numPr>
          <w:ilvl w:val="0"/>
          <w:numId w:val="3"/>
        </w:numPr>
        <w:ind w:right="12" w:hanging="391"/>
      </w:pPr>
      <w:r>
        <w:t xml:space="preserve">– </w:t>
      </w:r>
      <w:proofErr w:type="gramStart"/>
      <w:r>
        <w:t>produção</w:t>
      </w:r>
      <w:proofErr w:type="gramEnd"/>
      <w:r>
        <w:t xml:space="preserve"> de mudas nativas e recomposição da vegetação; </w:t>
      </w:r>
    </w:p>
    <w:p w14:paraId="6A1243EA" w14:textId="77777777" w:rsidR="00616DA8" w:rsidRDefault="00000000">
      <w:pPr>
        <w:numPr>
          <w:ilvl w:val="0"/>
          <w:numId w:val="3"/>
        </w:numPr>
        <w:ind w:right="12" w:hanging="391"/>
      </w:pPr>
      <w:r>
        <w:t xml:space="preserve">– </w:t>
      </w:r>
      <w:proofErr w:type="gramStart"/>
      <w:r>
        <w:t>educação</w:t>
      </w:r>
      <w:proofErr w:type="gramEnd"/>
      <w:r>
        <w:t xml:space="preserve"> ambiental e programas de visitação orientada; </w:t>
      </w:r>
    </w:p>
    <w:p w14:paraId="59C46A75" w14:textId="77777777" w:rsidR="00616DA8" w:rsidRDefault="00000000">
      <w:pPr>
        <w:numPr>
          <w:ilvl w:val="0"/>
          <w:numId w:val="3"/>
        </w:numPr>
        <w:ind w:right="12" w:hanging="391"/>
      </w:pPr>
      <w:r>
        <w:t xml:space="preserve">– </w:t>
      </w:r>
      <w:proofErr w:type="gramStart"/>
      <w:r>
        <w:t>apoio</w:t>
      </w:r>
      <w:proofErr w:type="gramEnd"/>
      <w:r>
        <w:t xml:space="preserve"> a atividades de pesquisa científica e monitoramento ambiental. </w:t>
      </w:r>
    </w:p>
    <w:p w14:paraId="5F34ED68" w14:textId="77777777" w:rsidR="00616DA8" w:rsidRDefault="00000000">
      <w:pPr>
        <w:spacing w:after="0" w:line="259" w:lineRule="auto"/>
        <w:ind w:left="0" w:firstLine="0"/>
      </w:pPr>
      <w:r>
        <w:t xml:space="preserve"> </w:t>
      </w:r>
    </w:p>
    <w:p w14:paraId="0C84A5FF" w14:textId="77777777" w:rsidR="00616DA8" w:rsidRDefault="00000000">
      <w:pPr>
        <w:pStyle w:val="Ttulo1"/>
        <w:ind w:left="-5" w:right="0"/>
      </w:pPr>
      <w:r>
        <w:t>Art. 6º</w:t>
      </w:r>
      <w:r>
        <w:rPr>
          <w:u w:val="none"/>
        </w:rPr>
        <w:t xml:space="preserve"> </w:t>
      </w:r>
    </w:p>
    <w:p w14:paraId="57E0DABD" w14:textId="77777777" w:rsidR="00616DA8" w:rsidRDefault="00000000">
      <w:pPr>
        <w:ind w:left="-5" w:right="12"/>
      </w:pPr>
      <w:r>
        <w:t xml:space="preserve">A entidade beneficiária deverá apresentar </w:t>
      </w:r>
      <w:r>
        <w:rPr>
          <w:b/>
        </w:rPr>
        <w:t>prestação de contas anual</w:t>
      </w:r>
      <w:r>
        <w:t xml:space="preserve">, contendo: </w:t>
      </w:r>
    </w:p>
    <w:p w14:paraId="683459DA" w14:textId="77777777" w:rsidR="00616DA8" w:rsidRDefault="00000000">
      <w:pPr>
        <w:numPr>
          <w:ilvl w:val="0"/>
          <w:numId w:val="4"/>
        </w:numPr>
        <w:ind w:right="12" w:hanging="307"/>
      </w:pPr>
      <w:r>
        <w:t xml:space="preserve">– </w:t>
      </w:r>
      <w:proofErr w:type="gramStart"/>
      <w:r>
        <w:t>relatório</w:t>
      </w:r>
      <w:proofErr w:type="gramEnd"/>
      <w:r>
        <w:t xml:space="preserve"> técnico das atividades desenvolvidas; </w:t>
      </w:r>
    </w:p>
    <w:p w14:paraId="3B67EE31" w14:textId="77777777" w:rsidR="00616DA8" w:rsidRDefault="00000000">
      <w:pPr>
        <w:numPr>
          <w:ilvl w:val="0"/>
          <w:numId w:val="4"/>
        </w:numPr>
        <w:ind w:right="12" w:hanging="307"/>
      </w:pPr>
      <w:r>
        <w:t xml:space="preserve">– </w:t>
      </w:r>
      <w:proofErr w:type="gramStart"/>
      <w:r>
        <w:t>indicadores</w:t>
      </w:r>
      <w:proofErr w:type="gramEnd"/>
      <w:r>
        <w:t xml:space="preserve"> ambientais alcançados; </w:t>
      </w:r>
    </w:p>
    <w:p w14:paraId="1D299A28" w14:textId="77777777" w:rsidR="00616DA8" w:rsidRDefault="00000000">
      <w:pPr>
        <w:numPr>
          <w:ilvl w:val="0"/>
          <w:numId w:val="4"/>
        </w:numPr>
        <w:ind w:right="12" w:hanging="307"/>
      </w:pPr>
      <w:r>
        <w:t xml:space="preserve">– </w:t>
      </w:r>
      <w:proofErr w:type="gramStart"/>
      <w:r>
        <w:t>comprovação</w:t>
      </w:r>
      <w:proofErr w:type="gramEnd"/>
      <w:r>
        <w:t xml:space="preserve"> da correta aplicação dos recursos; </w:t>
      </w:r>
    </w:p>
    <w:p w14:paraId="600BA787" w14:textId="77777777" w:rsidR="00616DA8" w:rsidRDefault="00000000">
      <w:pPr>
        <w:numPr>
          <w:ilvl w:val="0"/>
          <w:numId w:val="4"/>
        </w:numPr>
        <w:ind w:right="12" w:hanging="307"/>
      </w:pPr>
      <w:r>
        <w:t xml:space="preserve">– </w:t>
      </w:r>
      <w:proofErr w:type="gramStart"/>
      <w:r>
        <w:t>avaliação</w:t>
      </w:r>
      <w:proofErr w:type="gramEnd"/>
      <w:r>
        <w:t xml:space="preserve"> dos impactos ambientais positivos gerados ao Município. </w:t>
      </w:r>
    </w:p>
    <w:p w14:paraId="3A26CC52" w14:textId="77777777" w:rsidR="00616DA8" w:rsidRDefault="00000000">
      <w:pPr>
        <w:spacing w:after="0" w:line="259" w:lineRule="auto"/>
        <w:ind w:left="0" w:firstLine="0"/>
      </w:pPr>
      <w:r>
        <w:t xml:space="preserve"> </w:t>
      </w:r>
    </w:p>
    <w:p w14:paraId="7D793D4D" w14:textId="77777777" w:rsidR="00616DA8" w:rsidRDefault="00000000">
      <w:pPr>
        <w:pStyle w:val="Ttulo1"/>
        <w:ind w:left="-5" w:right="0"/>
      </w:pPr>
      <w:r>
        <w:t>Art. 7º</w:t>
      </w:r>
      <w:r>
        <w:rPr>
          <w:u w:val="none"/>
        </w:rPr>
        <w:t xml:space="preserve"> </w:t>
      </w:r>
    </w:p>
    <w:p w14:paraId="2F31B92C" w14:textId="77777777" w:rsidR="00616DA8" w:rsidRDefault="00000000">
      <w:pPr>
        <w:ind w:left="-5" w:right="12"/>
      </w:pPr>
      <w:r>
        <w:t xml:space="preserve">Poderão ainda ser destinados à execução de ações ambientais valores provenientes de: </w:t>
      </w:r>
    </w:p>
    <w:p w14:paraId="21998CC0" w14:textId="77777777" w:rsidR="00616DA8" w:rsidRDefault="00000000">
      <w:pPr>
        <w:numPr>
          <w:ilvl w:val="0"/>
          <w:numId w:val="5"/>
        </w:numPr>
        <w:spacing w:after="85"/>
        <w:ind w:right="12" w:hanging="298"/>
      </w:pPr>
      <w:r>
        <w:t xml:space="preserve">– </w:t>
      </w:r>
      <w:proofErr w:type="gramStart"/>
      <w:r>
        <w:rPr>
          <w:b/>
        </w:rPr>
        <w:t>multas</w:t>
      </w:r>
      <w:proofErr w:type="gramEnd"/>
      <w:r>
        <w:rPr>
          <w:b/>
        </w:rPr>
        <w:t xml:space="preserve"> administrativas ambientais</w:t>
      </w:r>
      <w:r>
        <w:t xml:space="preserve"> aplicadas pelo Município; </w:t>
      </w:r>
    </w:p>
    <w:p w14:paraId="1AB96B55" w14:textId="77777777" w:rsidR="00616DA8" w:rsidRDefault="00000000">
      <w:pPr>
        <w:numPr>
          <w:ilvl w:val="0"/>
          <w:numId w:val="5"/>
        </w:numPr>
        <w:ind w:right="12" w:hanging="298"/>
      </w:pPr>
      <w:r>
        <w:t xml:space="preserve">– </w:t>
      </w:r>
      <w:proofErr w:type="gramStart"/>
      <w:r>
        <w:t>recursos</w:t>
      </w:r>
      <w:proofErr w:type="gramEnd"/>
      <w:r>
        <w:t xml:space="preserve"> oriundos de </w:t>
      </w:r>
      <w:r>
        <w:rPr>
          <w:b/>
        </w:rPr>
        <w:t>termos de ajustamento de conduta ambiental</w:t>
      </w:r>
      <w:r>
        <w:t xml:space="preserve">, quando legalmente cabível; </w:t>
      </w:r>
    </w:p>
    <w:p w14:paraId="56575D97" w14:textId="77777777" w:rsidR="00616DA8" w:rsidRDefault="00000000">
      <w:pPr>
        <w:numPr>
          <w:ilvl w:val="0"/>
          <w:numId w:val="5"/>
        </w:numPr>
        <w:ind w:right="12" w:hanging="298"/>
      </w:pPr>
      <w:r>
        <w:t xml:space="preserve">– </w:t>
      </w:r>
      <w:proofErr w:type="gramStart"/>
      <w:r>
        <w:t>medidas</w:t>
      </w:r>
      <w:proofErr w:type="gramEnd"/>
      <w:r>
        <w:t xml:space="preserve"> compensatórias ambientais. </w:t>
      </w:r>
    </w:p>
    <w:p w14:paraId="70AE4F28" w14:textId="77777777" w:rsidR="00616DA8" w:rsidRDefault="00000000">
      <w:pPr>
        <w:ind w:left="-5" w:right="12"/>
      </w:pPr>
      <w:r>
        <w:lastRenderedPageBreak/>
        <w:t xml:space="preserve">Parágrafo único. A aplicação desses recursos deverá observar a legislação federal, estadual e municipal pertinente. </w:t>
      </w:r>
    </w:p>
    <w:p w14:paraId="6A1FA18C" w14:textId="77777777" w:rsidR="00616DA8" w:rsidRDefault="00000000">
      <w:pPr>
        <w:spacing w:after="0" w:line="259" w:lineRule="auto"/>
        <w:ind w:left="0" w:firstLine="0"/>
      </w:pPr>
      <w:r>
        <w:t xml:space="preserve"> </w:t>
      </w:r>
    </w:p>
    <w:p w14:paraId="5A8566FA" w14:textId="77777777" w:rsidR="00616DA8" w:rsidRDefault="00000000">
      <w:pPr>
        <w:pStyle w:val="Ttulo1"/>
        <w:ind w:left="-5" w:right="0"/>
      </w:pPr>
      <w:r>
        <w:t>Art. 8º</w:t>
      </w:r>
      <w:r>
        <w:rPr>
          <w:u w:val="none"/>
        </w:rPr>
        <w:t xml:space="preserve"> </w:t>
      </w:r>
    </w:p>
    <w:p w14:paraId="4ACC6CF8" w14:textId="77777777" w:rsidR="00616DA8" w:rsidRDefault="00000000">
      <w:pPr>
        <w:ind w:left="-5" w:right="12"/>
      </w:pPr>
      <w:r>
        <w:t xml:space="preserve">A destinação de recursos prevista nesta Lei </w:t>
      </w:r>
      <w:r>
        <w:rPr>
          <w:b/>
        </w:rPr>
        <w:t>não caracteriza benefício privado</w:t>
      </w:r>
      <w:r>
        <w:t xml:space="preserve">, constituindo instrumento de política pública ambiental voltado à conservação do patrimônio natural e à promoção do interesse coletivo. </w:t>
      </w:r>
    </w:p>
    <w:p w14:paraId="1F7D525E" w14:textId="77777777" w:rsidR="00616DA8" w:rsidRDefault="00000000">
      <w:pPr>
        <w:spacing w:after="0" w:line="259" w:lineRule="auto"/>
        <w:ind w:left="0" w:firstLine="0"/>
      </w:pPr>
      <w:r>
        <w:t xml:space="preserve"> </w:t>
      </w:r>
    </w:p>
    <w:p w14:paraId="25CDA5AF" w14:textId="77777777" w:rsidR="00616DA8" w:rsidRDefault="00000000">
      <w:pPr>
        <w:pStyle w:val="Ttulo1"/>
        <w:ind w:left="-5" w:right="0"/>
      </w:pPr>
      <w:r>
        <w:t>Art. 9º</w:t>
      </w:r>
      <w:r>
        <w:rPr>
          <w:u w:val="none"/>
        </w:rPr>
        <w:t xml:space="preserve"> </w:t>
      </w:r>
    </w:p>
    <w:p w14:paraId="5D59F3A1" w14:textId="77777777" w:rsidR="00616DA8" w:rsidRDefault="00000000">
      <w:pPr>
        <w:ind w:left="-5" w:right="12"/>
      </w:pPr>
      <w:r>
        <w:t xml:space="preserve">O Poder Executivo regulamentará esta Lei no prazo de </w:t>
      </w:r>
      <w:r>
        <w:rPr>
          <w:b/>
        </w:rPr>
        <w:t>90 (noventa) dias</w:t>
      </w:r>
      <w:r>
        <w:t xml:space="preserve">, estabelecendo critérios de acompanhamento, fiscalização e transparência da aplicação dos recursos. </w:t>
      </w:r>
    </w:p>
    <w:p w14:paraId="5EE44526" w14:textId="77777777" w:rsidR="00616DA8" w:rsidRDefault="00000000">
      <w:pPr>
        <w:spacing w:after="0" w:line="259" w:lineRule="auto"/>
        <w:ind w:left="0" w:firstLine="0"/>
      </w:pPr>
      <w:r>
        <w:t xml:space="preserve"> </w:t>
      </w:r>
    </w:p>
    <w:p w14:paraId="763D9E97" w14:textId="77777777" w:rsidR="00616DA8" w:rsidRDefault="00000000">
      <w:pPr>
        <w:pStyle w:val="Ttulo1"/>
        <w:ind w:left="-5" w:right="0"/>
      </w:pPr>
      <w:r>
        <w:t>Art. 10</w:t>
      </w:r>
      <w:r>
        <w:rPr>
          <w:u w:val="none"/>
        </w:rPr>
        <w:t xml:space="preserve"> </w:t>
      </w:r>
    </w:p>
    <w:p w14:paraId="34F9F440" w14:textId="77777777" w:rsidR="00616DA8" w:rsidRDefault="00000000">
      <w:pPr>
        <w:spacing w:after="85"/>
        <w:ind w:left="-5"/>
      </w:pPr>
      <w:r>
        <w:rPr>
          <w:b/>
        </w:rPr>
        <w:t xml:space="preserve">Esta Lei entra em vigor na data de sua publicação. </w:t>
      </w:r>
    </w:p>
    <w:p w14:paraId="741C1C94" w14:textId="77777777" w:rsidR="00616DA8" w:rsidRDefault="00000000">
      <w:pPr>
        <w:spacing w:after="220" w:line="259" w:lineRule="auto"/>
        <w:ind w:left="0" w:firstLine="0"/>
      </w:pPr>
      <w:r>
        <w:t xml:space="preserve"> </w:t>
      </w:r>
    </w:p>
    <w:p w14:paraId="75815817" w14:textId="77777777" w:rsidR="00616DA8" w:rsidRDefault="00000000">
      <w:pPr>
        <w:spacing w:after="85"/>
        <w:ind w:left="-5"/>
      </w:pPr>
      <w:r>
        <w:rPr>
          <w:b/>
        </w:rPr>
        <w:t xml:space="preserve">JUSTIFICATIVA </w:t>
      </w:r>
    </w:p>
    <w:p w14:paraId="7E1D7425" w14:textId="77777777" w:rsidR="00616DA8" w:rsidRDefault="00000000">
      <w:pPr>
        <w:ind w:left="-5" w:right="12"/>
      </w:pPr>
      <w:r>
        <w:t xml:space="preserve">O presente Projeto de Lei tem por objetivo estabelecer mecanismo municipal de destinação de parte dos recursos provenientes do ICMS Ecológico para apoio às atividades ambientais desenvolvidas pelas OSCIPs, localizada no Município de Araxá/MG. O ICMS Ecológico não constitui um novo tributo, mas um critério de repartição do ICMS previsto no art. 158, IV, da Constituição Federal, criado para incentivar políticas públicas ambientais no âmbito municipal. Os recursos ingressam no orçamento municipal e podem ter sua destinação definida por lei local, desde que observados os princípios da legalidade, finalidade e interesse público.  </w:t>
      </w:r>
    </w:p>
    <w:p w14:paraId="4AFDB124" w14:textId="77777777" w:rsidR="00616DA8" w:rsidRDefault="00000000">
      <w:pPr>
        <w:ind w:left="-5" w:right="12"/>
      </w:pPr>
      <w:r>
        <w:t xml:space="preserve">A legislação ambiental brasileira reconhece as Reservas Particulares do Patrimônio Natural – RPPNs como Unidades de Conservação de interesse público, nos termos da Lei Federal nº 9.985/2000, integrantes do Sistema Nacional de Unidades de Conservação. Ainda que situadas em propriedade privada, tais áreas prestam relevantes serviços ambientais à coletividade.  </w:t>
      </w:r>
    </w:p>
    <w:p w14:paraId="01819C1B" w14:textId="77777777" w:rsidR="00616DA8" w:rsidRDefault="00000000">
      <w:pPr>
        <w:spacing w:after="274"/>
        <w:ind w:left="-5" w:right="12"/>
      </w:pPr>
      <w:r>
        <w:t xml:space="preserve">Entre esses serviços destacam-se: </w:t>
      </w:r>
    </w:p>
    <w:p w14:paraId="644E6C1B" w14:textId="77777777" w:rsidR="00616DA8" w:rsidRDefault="00000000">
      <w:pPr>
        <w:numPr>
          <w:ilvl w:val="0"/>
          <w:numId w:val="6"/>
        </w:numPr>
        <w:spacing w:after="10"/>
        <w:ind w:hanging="360"/>
      </w:pPr>
      <w:r>
        <w:rPr>
          <w:b/>
        </w:rPr>
        <w:t xml:space="preserve">conservação da biodiversidade do Cerrado; </w:t>
      </w:r>
    </w:p>
    <w:p w14:paraId="2F963FC5" w14:textId="77777777" w:rsidR="00616DA8" w:rsidRDefault="00000000">
      <w:pPr>
        <w:numPr>
          <w:ilvl w:val="0"/>
          <w:numId w:val="6"/>
        </w:numPr>
        <w:spacing w:after="10"/>
        <w:ind w:hanging="360"/>
      </w:pPr>
      <w:r>
        <w:rPr>
          <w:b/>
        </w:rPr>
        <w:t xml:space="preserve">proteção de nascentes e recursos hídricos; </w:t>
      </w:r>
    </w:p>
    <w:p w14:paraId="4C3E2643" w14:textId="77777777" w:rsidR="00AC5B71" w:rsidRPr="00AC5B71" w:rsidRDefault="00000000">
      <w:pPr>
        <w:numPr>
          <w:ilvl w:val="0"/>
          <w:numId w:val="6"/>
        </w:numPr>
        <w:spacing w:after="266"/>
        <w:ind w:hanging="360"/>
      </w:pPr>
      <w:r>
        <w:rPr>
          <w:b/>
        </w:rPr>
        <w:t xml:space="preserve">mitigação de impactos climáticos locais; </w:t>
      </w:r>
    </w:p>
    <w:p w14:paraId="70A3658E" w14:textId="628D7246" w:rsidR="00AC5B71" w:rsidRPr="00AC5B71" w:rsidRDefault="00000000">
      <w:pPr>
        <w:numPr>
          <w:ilvl w:val="0"/>
          <w:numId w:val="6"/>
        </w:numPr>
        <w:spacing w:after="266"/>
        <w:ind w:hanging="360"/>
      </w:pPr>
      <w:r>
        <w:rPr>
          <w:b/>
        </w:rPr>
        <w:t xml:space="preserve">promoção da educação ambiental; </w:t>
      </w:r>
      <w:r>
        <w:rPr>
          <w:rFonts w:ascii="Arial" w:eastAsia="Arial" w:hAnsi="Arial" w:cs="Arial"/>
          <w:sz w:val="20"/>
        </w:rPr>
        <w:tab/>
      </w:r>
    </w:p>
    <w:p w14:paraId="32194674" w14:textId="074EAF2F" w:rsidR="00616DA8" w:rsidRDefault="00000000">
      <w:pPr>
        <w:numPr>
          <w:ilvl w:val="0"/>
          <w:numId w:val="6"/>
        </w:numPr>
        <w:spacing w:after="266"/>
        <w:ind w:hanging="360"/>
      </w:pPr>
      <w:r>
        <w:rPr>
          <w:b/>
        </w:rPr>
        <w:t xml:space="preserve">apoio à pesquisa científica. </w:t>
      </w:r>
    </w:p>
    <w:p w14:paraId="0EB09A79" w14:textId="77777777" w:rsidR="00616DA8" w:rsidRDefault="00000000">
      <w:pPr>
        <w:ind w:left="-5" w:right="12"/>
      </w:pPr>
      <w:r>
        <w:t>O Município de Araxá já recebe recursos provenientes do critério ambiental do ICMS em razão da existência de áreas protegidas em seu território. Entretanto</w:t>
      </w:r>
      <w:r>
        <w:rPr>
          <w:b/>
        </w:rPr>
        <w:t xml:space="preserve">, </w:t>
      </w:r>
      <w:r>
        <w:t xml:space="preserve">a ausência de </w:t>
      </w:r>
      <w:r>
        <w:lastRenderedPageBreak/>
        <w:t>instrumento legal específico que permita direcionar parte desses recursos às iniciativas responsáveis pela geração desse índice ambiental limita a eficiência da política pública ambiental local</w:t>
      </w:r>
      <w:r>
        <w:rPr>
          <w:b/>
        </w:rPr>
        <w:t xml:space="preserve">.  </w:t>
      </w:r>
    </w:p>
    <w:p w14:paraId="2822CEA1" w14:textId="77777777" w:rsidR="00616DA8" w:rsidRDefault="00000000">
      <w:pPr>
        <w:ind w:left="-5" w:right="12"/>
      </w:pPr>
      <w:r>
        <w:t xml:space="preserve">A proposta apresentada </w:t>
      </w:r>
      <w:r>
        <w:rPr>
          <w:b/>
        </w:rPr>
        <w:t>não cria nova despesa pública</w:t>
      </w:r>
      <w:r>
        <w:t xml:space="preserve">, tampouco compromete o orçamento municipal, pois estabelece limite de destinação sobre o incremento financeiro decorrente do critério ambiental do ICMS, mecanismo que preserva a segurança fiscal do Município. </w:t>
      </w:r>
    </w:p>
    <w:p w14:paraId="5A5DB294" w14:textId="77777777" w:rsidR="00616DA8" w:rsidRDefault="00000000">
      <w:pPr>
        <w:spacing w:after="85"/>
        <w:ind w:left="-5"/>
      </w:pPr>
      <w:r>
        <w:t xml:space="preserve">Além disso, o projeto prevê </w:t>
      </w:r>
      <w:r>
        <w:rPr>
          <w:b/>
        </w:rPr>
        <w:t>prestação de contas anual, instrumentos jurídicos formais de repasse e fiscalização pelos órgãos de controle</w:t>
      </w:r>
      <w:r>
        <w:t xml:space="preserve">, assegurando transparência e segurança jurídica à iniciativa.  </w:t>
      </w:r>
    </w:p>
    <w:p w14:paraId="5798CB87" w14:textId="77777777" w:rsidR="00616DA8" w:rsidRDefault="00000000">
      <w:pPr>
        <w:ind w:left="-5" w:right="12"/>
      </w:pPr>
      <w:r>
        <w:t xml:space="preserve">Trata-se, portanto, de medida alinhada aos princípios constitucionais da </w:t>
      </w:r>
      <w:r>
        <w:rPr>
          <w:b/>
        </w:rPr>
        <w:t>proteção ambiental, eficiência administrativa e desenvolvimento sustentável</w:t>
      </w:r>
      <w:r>
        <w:t xml:space="preserve">, fortalecendo a política ambiental municipal e valorizando iniciativas que contribuem diretamente para a preservação do patrimônio natural de Araxá. </w:t>
      </w:r>
    </w:p>
    <w:p w14:paraId="1BC4EC3C" w14:textId="77777777" w:rsidR="00616DA8" w:rsidRDefault="00000000">
      <w:pPr>
        <w:spacing w:after="270"/>
        <w:ind w:left="-5" w:right="12"/>
      </w:pPr>
      <w:r>
        <w:t xml:space="preserve">Diante da relevância da matéria, contamos com o apoio dos nobres Vereadores para aprovação do presente Projeto de Lei. </w:t>
      </w:r>
    </w:p>
    <w:p w14:paraId="6CA78CBD" w14:textId="77777777" w:rsidR="00616DA8" w:rsidRDefault="00000000">
      <w:pPr>
        <w:spacing w:after="259" w:line="259" w:lineRule="auto"/>
        <w:ind w:left="0" w:right="1" w:firstLine="0"/>
        <w:jc w:val="right"/>
      </w:pPr>
      <w:r>
        <w:t xml:space="preserve">Araxá, 23/02/2026. </w:t>
      </w:r>
    </w:p>
    <w:p w14:paraId="72CF31C8" w14:textId="77777777" w:rsidR="00616DA8" w:rsidRDefault="00000000">
      <w:pPr>
        <w:spacing w:after="257" w:line="259" w:lineRule="auto"/>
        <w:ind w:left="0" w:firstLine="0"/>
      </w:pPr>
      <w:r>
        <w:rPr>
          <w:b/>
        </w:rPr>
        <w:t xml:space="preserve"> </w:t>
      </w:r>
    </w:p>
    <w:p w14:paraId="11B5C111" w14:textId="77777777" w:rsidR="00616DA8" w:rsidRDefault="00000000">
      <w:pPr>
        <w:spacing w:after="0" w:line="240" w:lineRule="auto"/>
        <w:ind w:left="221" w:right="164" w:firstLine="0"/>
        <w:jc w:val="center"/>
      </w:pPr>
      <w:r>
        <w:rPr>
          <w:b/>
        </w:rPr>
        <w:t>RODRIGO EDUARDO DA SILVA – INVESTIGADOR RODRIGO</w:t>
      </w:r>
      <w:r>
        <w:t xml:space="preserve"> </w:t>
      </w:r>
      <w:r>
        <w:rPr>
          <w:b/>
        </w:rPr>
        <w:t>VEREADOR – PROGRESSISTAS</w:t>
      </w:r>
      <w:r>
        <w:t xml:space="preserve"> </w:t>
      </w:r>
    </w:p>
    <w:sectPr w:rsidR="00616DA8">
      <w:headerReference w:type="even" r:id="rId7"/>
      <w:headerReference w:type="default" r:id="rId8"/>
      <w:footerReference w:type="even" r:id="rId9"/>
      <w:footerReference w:type="default" r:id="rId10"/>
      <w:headerReference w:type="first" r:id="rId11"/>
      <w:footerReference w:type="first" r:id="rId12"/>
      <w:pgSz w:w="11904" w:h="16836"/>
      <w:pgMar w:top="1135" w:right="1461" w:bottom="2217" w:left="1702" w:header="724"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D7690" w14:textId="77777777" w:rsidR="00D72F85" w:rsidRDefault="00D72F85">
      <w:pPr>
        <w:spacing w:after="0" w:line="240" w:lineRule="auto"/>
      </w:pPr>
      <w:r>
        <w:separator/>
      </w:r>
    </w:p>
  </w:endnote>
  <w:endnote w:type="continuationSeparator" w:id="0">
    <w:p w14:paraId="5469F316" w14:textId="77777777" w:rsidR="00D72F85" w:rsidRDefault="00D7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91E3" w14:textId="77777777" w:rsidR="00616DA8"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9DD8F1F" wp14:editId="63C85686">
              <wp:simplePos x="0" y="0"/>
              <wp:positionH relativeFrom="page">
                <wp:posOffset>1062533</wp:posOffset>
              </wp:positionH>
              <wp:positionV relativeFrom="page">
                <wp:posOffset>9564319</wp:posOffset>
              </wp:positionV>
              <wp:extent cx="5586349" cy="9144"/>
              <wp:effectExtent l="0" t="0" r="0" b="0"/>
              <wp:wrapSquare wrapText="bothSides"/>
              <wp:docPr id="5135" name="Group 5135"/>
              <wp:cNvGraphicFramePr/>
              <a:graphic xmlns:a="http://schemas.openxmlformats.org/drawingml/2006/main">
                <a:graphicData uri="http://schemas.microsoft.com/office/word/2010/wordprocessingGroup">
                  <wpg:wgp>
                    <wpg:cNvGrpSpPr/>
                    <wpg:grpSpPr>
                      <a:xfrm>
                        <a:off x="0" y="0"/>
                        <a:ext cx="5586349" cy="9144"/>
                        <a:chOff x="0" y="0"/>
                        <a:chExt cx="5586349" cy="9144"/>
                      </a:xfrm>
                    </wpg:grpSpPr>
                    <wps:wsp>
                      <wps:cNvPr id="5280" name="Shape 5280"/>
                      <wps:cNvSpPr/>
                      <wps:spPr>
                        <a:xfrm>
                          <a:off x="0" y="6096"/>
                          <a:ext cx="5586349" cy="9144"/>
                        </a:xfrm>
                        <a:custGeom>
                          <a:avLst/>
                          <a:gdLst/>
                          <a:ahLst/>
                          <a:cxnLst/>
                          <a:rect l="0" t="0" r="0" b="0"/>
                          <a:pathLst>
                            <a:path w="5586349" h="9144">
                              <a:moveTo>
                                <a:pt x="0" y="0"/>
                              </a:moveTo>
                              <a:lnTo>
                                <a:pt x="5586349" y="0"/>
                              </a:lnTo>
                              <a:lnTo>
                                <a:pt x="5586349"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5281" name="Shape 5281"/>
                      <wps:cNvSpPr/>
                      <wps:spPr>
                        <a:xfrm>
                          <a:off x="0" y="0"/>
                          <a:ext cx="5586349" cy="9144"/>
                        </a:xfrm>
                        <a:custGeom>
                          <a:avLst/>
                          <a:gdLst/>
                          <a:ahLst/>
                          <a:cxnLst/>
                          <a:rect l="0" t="0" r="0" b="0"/>
                          <a:pathLst>
                            <a:path w="5586349" h="9144">
                              <a:moveTo>
                                <a:pt x="0" y="0"/>
                              </a:moveTo>
                              <a:lnTo>
                                <a:pt x="5586349" y="0"/>
                              </a:lnTo>
                              <a:lnTo>
                                <a:pt x="5586349"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5135" style="width:439.87pt;height:0.719971pt;position:absolute;mso-position-horizontal-relative:page;mso-position-horizontal:absolute;margin-left:83.664pt;mso-position-vertical-relative:page;margin-top:753.096pt;" coordsize="55863,91">
              <v:shape id="Shape 5282" style="position:absolute;width:55863;height:91;left:0;top:60;" coordsize="5586349,9144" path="m0,0l5586349,0l5586349,9144l0,9144l0,0">
                <v:stroke weight="0pt" endcap="flat" joinstyle="miter" miterlimit="10" on="false" color="#000000" opacity="0"/>
                <v:fill on="true" color="#808080"/>
              </v:shape>
              <v:shape id="Shape 5283" style="position:absolute;width:55863;height:91;left:0;top:0;" coordsize="5586349,9144" path="m0,0l5586349,0l5586349,9144l0,9144l0,0">
                <v:stroke weight="0pt" endcap="flat" joinstyle="miter" miterlimit="10" on="false" color="#000000" opacity="0"/>
                <v:fill on="true" color="#808080"/>
              </v:shape>
              <w10:wrap type="square"/>
            </v:group>
          </w:pict>
        </mc:Fallback>
      </mc:AlternateContent>
    </w:r>
    <w:r>
      <w:rPr>
        <w:rFonts w:ascii="Verdana" w:eastAsia="Verdana" w:hAnsi="Verdana" w:cs="Verdana"/>
        <w:b/>
        <w:sz w:val="16"/>
      </w:rPr>
      <w:t xml:space="preserve"> </w:t>
    </w:r>
  </w:p>
  <w:p w14:paraId="1862B68A" w14:textId="77777777" w:rsidR="00616DA8" w:rsidRDefault="00000000">
    <w:pPr>
      <w:spacing w:after="345" w:line="259" w:lineRule="auto"/>
      <w:ind w:left="41" w:firstLine="0"/>
      <w:jc w:val="center"/>
    </w:pPr>
    <w:r>
      <w:rPr>
        <w:rFonts w:ascii="Arial" w:eastAsia="Arial" w:hAnsi="Arial" w:cs="Arial"/>
        <w:b/>
        <w:sz w:val="16"/>
      </w:rPr>
      <w:t xml:space="preserve"> </w:t>
    </w:r>
  </w:p>
  <w:p w14:paraId="1E019664" w14:textId="77777777" w:rsidR="00616DA8" w:rsidRDefault="00000000">
    <w:pPr>
      <w:spacing w:after="0" w:line="238" w:lineRule="auto"/>
      <w:ind w:left="597" w:right="335" w:hanging="261"/>
      <w:jc w:val="center"/>
    </w:pPr>
    <w:r>
      <w:rPr>
        <w:b/>
        <w:sz w:val="22"/>
      </w:rPr>
      <w:t xml:space="preserve">Av. João Paulo II – nº 1200 – Guilhermina Vieira Chaer – Araxá-MG, CEP: 38184-122 Fone/Fax: (34)3662-3040 </w:t>
    </w:r>
    <w:r>
      <w:rPr>
        <w:b/>
        <w:color w:val="0000FF"/>
        <w:sz w:val="22"/>
        <w:u w:val="single" w:color="0000FF"/>
      </w:rPr>
      <w:t>www.araxa.mg.leg.br</w:t>
    </w:r>
    <w:r>
      <w:rPr>
        <w:b/>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A91F" w14:textId="77777777" w:rsidR="00616DA8"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7AC50B6" wp14:editId="48A11D86">
              <wp:simplePos x="0" y="0"/>
              <wp:positionH relativeFrom="page">
                <wp:posOffset>1062533</wp:posOffset>
              </wp:positionH>
              <wp:positionV relativeFrom="page">
                <wp:posOffset>9564319</wp:posOffset>
              </wp:positionV>
              <wp:extent cx="5586349" cy="9144"/>
              <wp:effectExtent l="0" t="0" r="0" b="0"/>
              <wp:wrapSquare wrapText="bothSides"/>
              <wp:docPr id="5079" name="Group 5079"/>
              <wp:cNvGraphicFramePr/>
              <a:graphic xmlns:a="http://schemas.openxmlformats.org/drawingml/2006/main">
                <a:graphicData uri="http://schemas.microsoft.com/office/word/2010/wordprocessingGroup">
                  <wpg:wgp>
                    <wpg:cNvGrpSpPr/>
                    <wpg:grpSpPr>
                      <a:xfrm>
                        <a:off x="0" y="0"/>
                        <a:ext cx="5586349" cy="9144"/>
                        <a:chOff x="0" y="0"/>
                        <a:chExt cx="5586349" cy="9144"/>
                      </a:xfrm>
                    </wpg:grpSpPr>
                    <wps:wsp>
                      <wps:cNvPr id="5276" name="Shape 5276"/>
                      <wps:cNvSpPr/>
                      <wps:spPr>
                        <a:xfrm>
                          <a:off x="0" y="6096"/>
                          <a:ext cx="5586349" cy="9144"/>
                        </a:xfrm>
                        <a:custGeom>
                          <a:avLst/>
                          <a:gdLst/>
                          <a:ahLst/>
                          <a:cxnLst/>
                          <a:rect l="0" t="0" r="0" b="0"/>
                          <a:pathLst>
                            <a:path w="5586349" h="9144">
                              <a:moveTo>
                                <a:pt x="0" y="0"/>
                              </a:moveTo>
                              <a:lnTo>
                                <a:pt x="5586349" y="0"/>
                              </a:lnTo>
                              <a:lnTo>
                                <a:pt x="5586349"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5277" name="Shape 5277"/>
                      <wps:cNvSpPr/>
                      <wps:spPr>
                        <a:xfrm>
                          <a:off x="0" y="0"/>
                          <a:ext cx="5586349" cy="9144"/>
                        </a:xfrm>
                        <a:custGeom>
                          <a:avLst/>
                          <a:gdLst/>
                          <a:ahLst/>
                          <a:cxnLst/>
                          <a:rect l="0" t="0" r="0" b="0"/>
                          <a:pathLst>
                            <a:path w="5586349" h="9144">
                              <a:moveTo>
                                <a:pt x="0" y="0"/>
                              </a:moveTo>
                              <a:lnTo>
                                <a:pt x="5586349" y="0"/>
                              </a:lnTo>
                              <a:lnTo>
                                <a:pt x="5586349"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5079" style="width:439.87pt;height:0.719971pt;position:absolute;mso-position-horizontal-relative:page;mso-position-horizontal:absolute;margin-left:83.664pt;mso-position-vertical-relative:page;margin-top:753.096pt;" coordsize="55863,91">
              <v:shape id="Shape 5278" style="position:absolute;width:55863;height:91;left:0;top:60;" coordsize="5586349,9144" path="m0,0l5586349,0l5586349,9144l0,9144l0,0">
                <v:stroke weight="0pt" endcap="flat" joinstyle="miter" miterlimit="10" on="false" color="#000000" opacity="0"/>
                <v:fill on="true" color="#808080"/>
              </v:shape>
              <v:shape id="Shape 5279" style="position:absolute;width:55863;height:91;left:0;top:0;" coordsize="5586349,9144" path="m0,0l5586349,0l5586349,9144l0,9144l0,0">
                <v:stroke weight="0pt" endcap="flat" joinstyle="miter" miterlimit="10" on="false" color="#000000" opacity="0"/>
                <v:fill on="true" color="#808080"/>
              </v:shape>
              <w10:wrap type="square"/>
            </v:group>
          </w:pict>
        </mc:Fallback>
      </mc:AlternateContent>
    </w:r>
    <w:r>
      <w:rPr>
        <w:rFonts w:ascii="Verdana" w:eastAsia="Verdana" w:hAnsi="Verdana" w:cs="Verdana"/>
        <w:b/>
        <w:sz w:val="16"/>
      </w:rPr>
      <w:t xml:space="preserve"> </w:t>
    </w:r>
  </w:p>
  <w:p w14:paraId="0019D74B" w14:textId="77777777" w:rsidR="00616DA8" w:rsidRDefault="00000000">
    <w:pPr>
      <w:spacing w:after="345" w:line="259" w:lineRule="auto"/>
      <w:ind w:left="41" w:firstLine="0"/>
      <w:jc w:val="center"/>
    </w:pPr>
    <w:r>
      <w:rPr>
        <w:rFonts w:ascii="Arial" w:eastAsia="Arial" w:hAnsi="Arial" w:cs="Arial"/>
        <w:b/>
        <w:sz w:val="16"/>
      </w:rPr>
      <w:t xml:space="preserve"> </w:t>
    </w:r>
  </w:p>
  <w:p w14:paraId="7A65013B" w14:textId="77777777" w:rsidR="00616DA8" w:rsidRDefault="00000000">
    <w:pPr>
      <w:spacing w:after="0" w:line="238" w:lineRule="auto"/>
      <w:ind w:left="597" w:right="335" w:hanging="261"/>
      <w:jc w:val="center"/>
    </w:pPr>
    <w:r>
      <w:rPr>
        <w:b/>
        <w:sz w:val="22"/>
      </w:rPr>
      <w:t xml:space="preserve">Av. João Paulo II – nº 1200 – Guilhermina Vieira Chaer – Araxá-MG, CEP: 38184-122 Fone/Fax: (34)3662-3040 </w:t>
    </w:r>
    <w:r>
      <w:rPr>
        <w:b/>
        <w:color w:val="0000FF"/>
        <w:sz w:val="22"/>
        <w:u w:val="single" w:color="0000FF"/>
      </w:rPr>
      <w:t>www.araxa.mg.leg.br</w:t>
    </w:r>
    <w:r>
      <w:rPr>
        <w:b/>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B9AF" w14:textId="77777777" w:rsidR="00616DA8"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6648182" wp14:editId="58C91418">
              <wp:simplePos x="0" y="0"/>
              <wp:positionH relativeFrom="page">
                <wp:posOffset>1062533</wp:posOffset>
              </wp:positionH>
              <wp:positionV relativeFrom="page">
                <wp:posOffset>9564319</wp:posOffset>
              </wp:positionV>
              <wp:extent cx="5586349" cy="9144"/>
              <wp:effectExtent l="0" t="0" r="0" b="0"/>
              <wp:wrapSquare wrapText="bothSides"/>
              <wp:docPr id="5023" name="Group 5023"/>
              <wp:cNvGraphicFramePr/>
              <a:graphic xmlns:a="http://schemas.openxmlformats.org/drawingml/2006/main">
                <a:graphicData uri="http://schemas.microsoft.com/office/word/2010/wordprocessingGroup">
                  <wpg:wgp>
                    <wpg:cNvGrpSpPr/>
                    <wpg:grpSpPr>
                      <a:xfrm>
                        <a:off x="0" y="0"/>
                        <a:ext cx="5586349" cy="9144"/>
                        <a:chOff x="0" y="0"/>
                        <a:chExt cx="5586349" cy="9144"/>
                      </a:xfrm>
                    </wpg:grpSpPr>
                    <wps:wsp>
                      <wps:cNvPr id="5272" name="Shape 5272"/>
                      <wps:cNvSpPr/>
                      <wps:spPr>
                        <a:xfrm>
                          <a:off x="0" y="6096"/>
                          <a:ext cx="5586349" cy="9144"/>
                        </a:xfrm>
                        <a:custGeom>
                          <a:avLst/>
                          <a:gdLst/>
                          <a:ahLst/>
                          <a:cxnLst/>
                          <a:rect l="0" t="0" r="0" b="0"/>
                          <a:pathLst>
                            <a:path w="5586349" h="9144">
                              <a:moveTo>
                                <a:pt x="0" y="0"/>
                              </a:moveTo>
                              <a:lnTo>
                                <a:pt x="5586349" y="0"/>
                              </a:lnTo>
                              <a:lnTo>
                                <a:pt x="5586349"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5273" name="Shape 5273"/>
                      <wps:cNvSpPr/>
                      <wps:spPr>
                        <a:xfrm>
                          <a:off x="0" y="0"/>
                          <a:ext cx="5586349" cy="9144"/>
                        </a:xfrm>
                        <a:custGeom>
                          <a:avLst/>
                          <a:gdLst/>
                          <a:ahLst/>
                          <a:cxnLst/>
                          <a:rect l="0" t="0" r="0" b="0"/>
                          <a:pathLst>
                            <a:path w="5586349" h="9144">
                              <a:moveTo>
                                <a:pt x="0" y="0"/>
                              </a:moveTo>
                              <a:lnTo>
                                <a:pt x="5586349" y="0"/>
                              </a:lnTo>
                              <a:lnTo>
                                <a:pt x="5586349"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5023" style="width:439.87pt;height:0.719971pt;position:absolute;mso-position-horizontal-relative:page;mso-position-horizontal:absolute;margin-left:83.664pt;mso-position-vertical-relative:page;margin-top:753.096pt;" coordsize="55863,91">
              <v:shape id="Shape 5274" style="position:absolute;width:55863;height:91;left:0;top:60;" coordsize="5586349,9144" path="m0,0l5586349,0l5586349,9144l0,9144l0,0">
                <v:stroke weight="0pt" endcap="flat" joinstyle="miter" miterlimit="10" on="false" color="#000000" opacity="0"/>
                <v:fill on="true" color="#808080"/>
              </v:shape>
              <v:shape id="Shape 5275" style="position:absolute;width:55863;height:91;left:0;top:0;" coordsize="5586349,9144" path="m0,0l5586349,0l5586349,9144l0,9144l0,0">
                <v:stroke weight="0pt" endcap="flat" joinstyle="miter" miterlimit="10" on="false" color="#000000" opacity="0"/>
                <v:fill on="true" color="#808080"/>
              </v:shape>
              <w10:wrap type="square"/>
            </v:group>
          </w:pict>
        </mc:Fallback>
      </mc:AlternateContent>
    </w:r>
    <w:r>
      <w:rPr>
        <w:rFonts w:ascii="Verdana" w:eastAsia="Verdana" w:hAnsi="Verdana" w:cs="Verdana"/>
        <w:b/>
        <w:sz w:val="16"/>
      </w:rPr>
      <w:t xml:space="preserve"> </w:t>
    </w:r>
  </w:p>
  <w:p w14:paraId="30963396" w14:textId="77777777" w:rsidR="00616DA8" w:rsidRDefault="00000000">
    <w:pPr>
      <w:spacing w:after="345" w:line="259" w:lineRule="auto"/>
      <w:ind w:left="41" w:firstLine="0"/>
      <w:jc w:val="center"/>
    </w:pPr>
    <w:r>
      <w:rPr>
        <w:rFonts w:ascii="Arial" w:eastAsia="Arial" w:hAnsi="Arial" w:cs="Arial"/>
        <w:b/>
        <w:sz w:val="16"/>
      </w:rPr>
      <w:t xml:space="preserve"> </w:t>
    </w:r>
  </w:p>
  <w:p w14:paraId="0D45D723" w14:textId="77777777" w:rsidR="00616DA8" w:rsidRDefault="00000000">
    <w:pPr>
      <w:spacing w:after="0" w:line="238" w:lineRule="auto"/>
      <w:ind w:left="597" w:right="335" w:hanging="261"/>
      <w:jc w:val="center"/>
    </w:pPr>
    <w:r>
      <w:rPr>
        <w:b/>
        <w:sz w:val="22"/>
      </w:rPr>
      <w:t xml:space="preserve">Av. João Paulo II – nº 1200 – Guilhermina Vieira Chaer – Araxá-MG, CEP: 38184-122 Fone/Fax: (34)3662-3040 </w:t>
    </w:r>
    <w:r>
      <w:rPr>
        <w:b/>
        <w:color w:val="0000FF"/>
        <w:sz w:val="22"/>
        <w:u w:val="single" w:color="0000FF"/>
      </w:rPr>
      <w:t>www.araxa.mg.leg.br</w:t>
    </w:r>
    <w:r>
      <w:rPr>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9667" w14:textId="77777777" w:rsidR="00D72F85" w:rsidRDefault="00D72F85">
      <w:pPr>
        <w:spacing w:after="0" w:line="240" w:lineRule="auto"/>
      </w:pPr>
      <w:r>
        <w:separator/>
      </w:r>
    </w:p>
  </w:footnote>
  <w:footnote w:type="continuationSeparator" w:id="0">
    <w:p w14:paraId="1C584F56" w14:textId="77777777" w:rsidR="00D72F85" w:rsidRDefault="00D7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D227" w14:textId="77777777" w:rsidR="00616DA8" w:rsidRDefault="00000000">
    <w:pPr>
      <w:spacing w:after="0" w:line="259" w:lineRule="auto"/>
      <w:ind w:left="26" w:firstLine="0"/>
    </w:pPr>
    <w:r>
      <w:rPr>
        <w:sz w:val="30"/>
      </w:rPr>
      <w:t xml:space="preserve">CÂMARA MUNICIPAL DE ARAXÁ - ESTADO DE MINAS GERAIS </w:t>
    </w:r>
  </w:p>
  <w:p w14:paraId="5AD904D9" w14:textId="77777777" w:rsidR="00616DA8"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64260E8" wp14:editId="2B8C756F">
              <wp:simplePos x="0" y="0"/>
              <wp:positionH relativeFrom="page">
                <wp:posOffset>982980</wp:posOffset>
              </wp:positionH>
              <wp:positionV relativeFrom="page">
                <wp:posOffset>2554605</wp:posOffset>
              </wp:positionV>
              <wp:extent cx="5743576" cy="4930140"/>
              <wp:effectExtent l="0" t="0" r="0" b="0"/>
              <wp:wrapNone/>
              <wp:docPr id="5127" name="Group 5127"/>
              <wp:cNvGraphicFramePr/>
              <a:graphic xmlns:a="http://schemas.openxmlformats.org/drawingml/2006/main">
                <a:graphicData uri="http://schemas.microsoft.com/office/word/2010/wordprocessingGroup">
                  <wpg:wgp>
                    <wpg:cNvGrpSpPr/>
                    <wpg:grpSpPr>
                      <a:xfrm>
                        <a:off x="0" y="0"/>
                        <a:ext cx="5743576" cy="4930140"/>
                        <a:chOff x="0" y="0"/>
                        <a:chExt cx="5743576" cy="4930140"/>
                      </a:xfrm>
                    </wpg:grpSpPr>
                    <pic:pic xmlns:pic="http://schemas.openxmlformats.org/drawingml/2006/picture">
                      <pic:nvPicPr>
                        <pic:cNvPr id="5128" name="Picture 5128"/>
                        <pic:cNvPicPr/>
                      </pic:nvPicPr>
                      <pic:blipFill>
                        <a:blip r:embed="rId1"/>
                        <a:stretch>
                          <a:fillRect/>
                        </a:stretch>
                      </pic:blipFill>
                      <pic:spPr>
                        <a:xfrm>
                          <a:off x="0" y="0"/>
                          <a:ext cx="5743576" cy="4930140"/>
                        </a:xfrm>
                        <a:prstGeom prst="rect">
                          <a:avLst/>
                        </a:prstGeom>
                      </pic:spPr>
                    </pic:pic>
                  </wpg:wgp>
                </a:graphicData>
              </a:graphic>
            </wp:anchor>
          </w:drawing>
        </mc:Choice>
        <mc:Fallback xmlns:a="http://schemas.openxmlformats.org/drawingml/2006/main">
          <w:pict>
            <v:group id="Group 5127" style="width:452.25pt;height:388.2pt;position:absolute;z-index:-2147483648;mso-position-horizontal-relative:page;mso-position-horizontal:absolute;margin-left:77.4pt;mso-position-vertical-relative:page;margin-top:201.15pt;" coordsize="57435,49301">
              <v:shape id="Picture 5128" style="position:absolute;width:57435;height:49301;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B38B" w14:textId="77777777" w:rsidR="00616DA8" w:rsidRDefault="00000000">
    <w:pPr>
      <w:spacing w:after="0" w:line="259" w:lineRule="auto"/>
      <w:ind w:left="26" w:firstLine="0"/>
    </w:pPr>
    <w:r>
      <w:rPr>
        <w:sz w:val="30"/>
      </w:rPr>
      <w:t xml:space="preserve">CÂMARA MUNICIPAL DE ARAXÁ - ESTADO DE MINAS GERAIS </w:t>
    </w:r>
  </w:p>
  <w:p w14:paraId="741EAF90" w14:textId="77777777" w:rsidR="00616DA8"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681E2F0" wp14:editId="7FEBF331">
              <wp:simplePos x="0" y="0"/>
              <wp:positionH relativeFrom="page">
                <wp:posOffset>982980</wp:posOffset>
              </wp:positionH>
              <wp:positionV relativeFrom="page">
                <wp:posOffset>2554605</wp:posOffset>
              </wp:positionV>
              <wp:extent cx="5743576" cy="4930140"/>
              <wp:effectExtent l="0" t="0" r="0" b="0"/>
              <wp:wrapNone/>
              <wp:docPr id="5071" name="Group 5071"/>
              <wp:cNvGraphicFramePr/>
              <a:graphic xmlns:a="http://schemas.openxmlformats.org/drawingml/2006/main">
                <a:graphicData uri="http://schemas.microsoft.com/office/word/2010/wordprocessingGroup">
                  <wpg:wgp>
                    <wpg:cNvGrpSpPr/>
                    <wpg:grpSpPr>
                      <a:xfrm>
                        <a:off x="0" y="0"/>
                        <a:ext cx="5743576" cy="4930140"/>
                        <a:chOff x="0" y="0"/>
                        <a:chExt cx="5743576" cy="4930140"/>
                      </a:xfrm>
                    </wpg:grpSpPr>
                    <pic:pic xmlns:pic="http://schemas.openxmlformats.org/drawingml/2006/picture">
                      <pic:nvPicPr>
                        <pic:cNvPr id="5072" name="Picture 5072"/>
                        <pic:cNvPicPr/>
                      </pic:nvPicPr>
                      <pic:blipFill>
                        <a:blip r:embed="rId1"/>
                        <a:stretch>
                          <a:fillRect/>
                        </a:stretch>
                      </pic:blipFill>
                      <pic:spPr>
                        <a:xfrm>
                          <a:off x="0" y="0"/>
                          <a:ext cx="5743576" cy="4930140"/>
                        </a:xfrm>
                        <a:prstGeom prst="rect">
                          <a:avLst/>
                        </a:prstGeom>
                      </pic:spPr>
                    </pic:pic>
                  </wpg:wgp>
                </a:graphicData>
              </a:graphic>
            </wp:anchor>
          </w:drawing>
        </mc:Choice>
        <mc:Fallback xmlns:a="http://schemas.openxmlformats.org/drawingml/2006/main">
          <w:pict>
            <v:group id="Group 5071" style="width:452.25pt;height:388.2pt;position:absolute;z-index:-2147483648;mso-position-horizontal-relative:page;mso-position-horizontal:absolute;margin-left:77.4pt;mso-position-vertical-relative:page;margin-top:201.15pt;" coordsize="57435,49301">
              <v:shape id="Picture 5072" style="position:absolute;width:57435;height:49301;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7B39" w14:textId="77777777" w:rsidR="00616DA8" w:rsidRDefault="00000000">
    <w:pPr>
      <w:spacing w:after="0" w:line="259" w:lineRule="auto"/>
      <w:ind w:left="26" w:firstLine="0"/>
    </w:pPr>
    <w:r>
      <w:rPr>
        <w:sz w:val="30"/>
      </w:rPr>
      <w:t xml:space="preserve">CÂMARA MUNICIPAL DE ARAXÁ - ESTADO DE MINAS GERAIS </w:t>
    </w:r>
  </w:p>
  <w:p w14:paraId="351F0A08" w14:textId="77777777" w:rsidR="00616DA8"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7F67B7D" wp14:editId="75EC5422">
              <wp:simplePos x="0" y="0"/>
              <wp:positionH relativeFrom="page">
                <wp:posOffset>982980</wp:posOffset>
              </wp:positionH>
              <wp:positionV relativeFrom="page">
                <wp:posOffset>2554605</wp:posOffset>
              </wp:positionV>
              <wp:extent cx="5743576" cy="4930140"/>
              <wp:effectExtent l="0" t="0" r="0" b="0"/>
              <wp:wrapNone/>
              <wp:docPr id="5015" name="Group 5015"/>
              <wp:cNvGraphicFramePr/>
              <a:graphic xmlns:a="http://schemas.openxmlformats.org/drawingml/2006/main">
                <a:graphicData uri="http://schemas.microsoft.com/office/word/2010/wordprocessingGroup">
                  <wpg:wgp>
                    <wpg:cNvGrpSpPr/>
                    <wpg:grpSpPr>
                      <a:xfrm>
                        <a:off x="0" y="0"/>
                        <a:ext cx="5743576" cy="4930140"/>
                        <a:chOff x="0" y="0"/>
                        <a:chExt cx="5743576" cy="4930140"/>
                      </a:xfrm>
                    </wpg:grpSpPr>
                    <pic:pic xmlns:pic="http://schemas.openxmlformats.org/drawingml/2006/picture">
                      <pic:nvPicPr>
                        <pic:cNvPr id="5016" name="Picture 5016"/>
                        <pic:cNvPicPr/>
                      </pic:nvPicPr>
                      <pic:blipFill>
                        <a:blip r:embed="rId1"/>
                        <a:stretch>
                          <a:fillRect/>
                        </a:stretch>
                      </pic:blipFill>
                      <pic:spPr>
                        <a:xfrm>
                          <a:off x="0" y="0"/>
                          <a:ext cx="5743576" cy="4930140"/>
                        </a:xfrm>
                        <a:prstGeom prst="rect">
                          <a:avLst/>
                        </a:prstGeom>
                      </pic:spPr>
                    </pic:pic>
                  </wpg:wgp>
                </a:graphicData>
              </a:graphic>
            </wp:anchor>
          </w:drawing>
        </mc:Choice>
        <mc:Fallback xmlns:a="http://schemas.openxmlformats.org/drawingml/2006/main">
          <w:pict>
            <v:group id="Group 5015" style="width:452.25pt;height:388.2pt;position:absolute;z-index:-2147483648;mso-position-horizontal-relative:page;mso-position-horizontal:absolute;margin-left:77.4pt;mso-position-vertical-relative:page;margin-top:201.15pt;" coordsize="57435,49301">
              <v:shape id="Picture 5016" style="position:absolute;width:57435;height:49301;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183"/>
    <w:multiLevelType w:val="hybridMultilevel"/>
    <w:tmpl w:val="C534F482"/>
    <w:lvl w:ilvl="0" w:tplc="D046C3B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0EF3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0615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C236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CCF1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C683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A073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C88F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D2FA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6F0887"/>
    <w:multiLevelType w:val="hybridMultilevel"/>
    <w:tmpl w:val="89CCCDBE"/>
    <w:lvl w:ilvl="0" w:tplc="69821CF6">
      <w:start w:val="1"/>
      <w:numFmt w:val="upperRoman"/>
      <w:lvlText w:val="%1"/>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08D7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7618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6E60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005D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8A75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6C3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3A78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E0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DB6C01"/>
    <w:multiLevelType w:val="hybridMultilevel"/>
    <w:tmpl w:val="6700F408"/>
    <w:lvl w:ilvl="0" w:tplc="6C44CB6E">
      <w:start w:val="1"/>
      <w:numFmt w:val="upperRoman"/>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5A35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4FD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006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DA84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2BC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4BE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E028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96F5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D60DD0"/>
    <w:multiLevelType w:val="hybridMultilevel"/>
    <w:tmpl w:val="7AAA4FBE"/>
    <w:lvl w:ilvl="0" w:tplc="94FAC8E0">
      <w:start w:val="1"/>
      <w:numFmt w:val="upp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695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9809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A66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EC97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C9F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2ABF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C6F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CE5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164A89"/>
    <w:multiLevelType w:val="hybridMultilevel"/>
    <w:tmpl w:val="5EBCA742"/>
    <w:lvl w:ilvl="0" w:tplc="385A37EC">
      <w:start w:val="1"/>
      <w:numFmt w:val="upperRoman"/>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6C12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4E1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B4B5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6A1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CE0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2A9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4A8D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FA80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B1063A"/>
    <w:multiLevelType w:val="hybridMultilevel"/>
    <w:tmpl w:val="0D7836DE"/>
    <w:lvl w:ilvl="0" w:tplc="4B6A88FE">
      <w:start w:val="1"/>
      <w:numFmt w:val="upperRoman"/>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4E17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019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8850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8F1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F8A7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429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034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294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92940665">
    <w:abstractNumId w:val="3"/>
  </w:num>
  <w:num w:numId="2" w16cid:durableId="1647929292">
    <w:abstractNumId w:val="1"/>
  </w:num>
  <w:num w:numId="3" w16cid:durableId="38164094">
    <w:abstractNumId w:val="5"/>
  </w:num>
  <w:num w:numId="4" w16cid:durableId="501316006">
    <w:abstractNumId w:val="2"/>
  </w:num>
  <w:num w:numId="5" w16cid:durableId="1085810502">
    <w:abstractNumId w:val="4"/>
  </w:num>
  <w:num w:numId="6" w16cid:durableId="574704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DA8"/>
    <w:rsid w:val="00616DA8"/>
    <w:rsid w:val="00A10AE9"/>
    <w:rsid w:val="00AC5B71"/>
    <w:rsid w:val="00D72F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F4F4"/>
  <w15:docId w15:val="{F99E2049-FD0A-4BFA-8DDE-FA5EBE9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9" w:line="249" w:lineRule="auto"/>
      <w:ind w:left="10" w:hanging="10"/>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74" w:line="259" w:lineRule="auto"/>
      <w:ind w:left="10" w:right="3" w:hanging="10"/>
      <w:outlineLvl w:val="0"/>
    </w:pPr>
    <w:rPr>
      <w:rFonts w:ascii="Times New Roman" w:eastAsia="Times New Roman" w:hAnsi="Times New Roman" w:cs="Times New Roman"/>
      <w:b/>
      <w:color w:val="00000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5774</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184/2011</dc:title>
  <dc:subject/>
  <dc:creator>drmuri</dc:creator>
  <cp:keywords/>
  <cp:lastModifiedBy>Cintia Alves</cp:lastModifiedBy>
  <cp:revision>2</cp:revision>
  <dcterms:created xsi:type="dcterms:W3CDTF">2026-03-12T17:01:00Z</dcterms:created>
  <dcterms:modified xsi:type="dcterms:W3CDTF">2026-03-12T17:01:00Z</dcterms:modified>
</cp:coreProperties>
</file>