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947E" w14:textId="79572881" w:rsidR="00F24A6F" w:rsidRDefault="00000000">
      <w:pPr>
        <w:spacing w:after="226" w:line="249" w:lineRule="auto"/>
        <w:ind w:left="230" w:right="228"/>
        <w:jc w:val="center"/>
      </w:pPr>
      <w:r>
        <w:rPr>
          <w:b/>
        </w:rPr>
        <w:t xml:space="preserve">PROJETO DE LEI Nº </w:t>
      </w:r>
      <w:r w:rsidR="00CE4728">
        <w:rPr>
          <w:b/>
        </w:rPr>
        <w:t>149</w:t>
      </w:r>
      <w:r>
        <w:rPr>
          <w:b/>
        </w:rPr>
        <w:t xml:space="preserve">/2026 </w:t>
      </w:r>
    </w:p>
    <w:p w14:paraId="3A577486" w14:textId="77777777" w:rsidR="00F24A6F" w:rsidRDefault="00000000">
      <w:pPr>
        <w:spacing w:after="84" w:line="249" w:lineRule="auto"/>
        <w:ind w:left="2279" w:right="0"/>
      </w:pPr>
      <w:r>
        <w:rPr>
          <w:b/>
        </w:rPr>
        <w:t xml:space="preserve">Institui o Programa Municipal “Mulher Segura” de Defesa Pessoal, Prevenção à Violência e Fortalecimento da Autoproteção Feminina no Município de Araxá/MG, e dá outras providências. </w:t>
      </w:r>
    </w:p>
    <w:p w14:paraId="481E0ED9" w14:textId="77777777" w:rsidR="00F24A6F" w:rsidRDefault="00000000">
      <w:pPr>
        <w:spacing w:after="76" w:line="259" w:lineRule="auto"/>
        <w:ind w:left="0" w:right="0" w:firstLine="0"/>
        <w:jc w:val="left"/>
      </w:pPr>
      <w:r>
        <w:t xml:space="preserve"> </w:t>
      </w:r>
    </w:p>
    <w:p w14:paraId="442C7053" w14:textId="77777777" w:rsidR="00F24A6F" w:rsidRDefault="00000000">
      <w:pPr>
        <w:spacing w:after="230"/>
        <w:ind w:left="-5" w:right="0"/>
      </w:pPr>
      <w:r>
        <w:t xml:space="preserve">A </w:t>
      </w:r>
      <w:r>
        <w:rPr>
          <w:b/>
        </w:rPr>
        <w:t>CÂMARA MUNICIPAL DE ARAXÁ</w:t>
      </w:r>
      <w:r>
        <w:t xml:space="preserve">, através de proposição do Vereador RODRIGO EDUARDO DA SILVA – </w:t>
      </w:r>
      <w:r>
        <w:rPr>
          <w:b/>
        </w:rPr>
        <w:t>INVESTIGADOR RODRIGO</w:t>
      </w:r>
      <w:r>
        <w:t xml:space="preserve">, com a Graça de Deus, aprova, e eu, Prefeito Municipal, sanciono e promulgo a seguinte Lei: </w:t>
      </w:r>
    </w:p>
    <w:p w14:paraId="77DE03A7" w14:textId="77777777" w:rsidR="00F24A6F" w:rsidRDefault="00000000">
      <w:pPr>
        <w:ind w:left="-5" w:right="0"/>
      </w:pPr>
      <w:r>
        <w:t xml:space="preserve">Art. 1º </w:t>
      </w:r>
    </w:p>
    <w:p w14:paraId="1B3F2644" w14:textId="77777777" w:rsidR="00F24A6F" w:rsidRDefault="00000000" w:rsidP="005C099E">
      <w:pPr>
        <w:spacing w:after="233"/>
        <w:ind w:left="0" w:right="0" w:firstLine="0"/>
      </w:pPr>
      <w:r>
        <w:t xml:space="preserve">Fica instituído, no âmbito do Município de Araxá/MG, o </w:t>
      </w:r>
      <w:r>
        <w:rPr>
          <w:b/>
        </w:rPr>
        <w:t>Programa Municipal Mulher Segura</w:t>
      </w:r>
      <w:r>
        <w:t xml:space="preserve">, destinado à oferta gratuita de atividades de defesa pessoal, prevenção à violência, orientação sobre direitos e fortalecimento da autoproteção feminina. </w:t>
      </w:r>
    </w:p>
    <w:p w14:paraId="60ABB746" w14:textId="77777777" w:rsidR="00F24A6F" w:rsidRDefault="00000000">
      <w:pPr>
        <w:ind w:left="-5" w:right="0"/>
      </w:pPr>
      <w:r>
        <w:t xml:space="preserve">Art. 2º </w:t>
      </w:r>
    </w:p>
    <w:p w14:paraId="36A2D797" w14:textId="77777777" w:rsidR="00F24A6F" w:rsidRDefault="00000000">
      <w:pPr>
        <w:ind w:left="-5" w:right="0"/>
      </w:pPr>
      <w:r>
        <w:t xml:space="preserve">O Programa tem por objetivos: </w:t>
      </w:r>
    </w:p>
    <w:p w14:paraId="2035898F" w14:textId="77777777" w:rsidR="00F24A6F" w:rsidRDefault="00000000">
      <w:pPr>
        <w:numPr>
          <w:ilvl w:val="0"/>
          <w:numId w:val="1"/>
        </w:numPr>
        <w:spacing w:after="11"/>
        <w:ind w:right="0" w:hanging="391"/>
      </w:pPr>
      <w:r>
        <w:t xml:space="preserve">– </w:t>
      </w:r>
      <w:proofErr w:type="gramStart"/>
      <w:r>
        <w:t>promover</w:t>
      </w:r>
      <w:proofErr w:type="gramEnd"/>
      <w:r>
        <w:t xml:space="preserve"> a cultura da prevenção à violência contra a mulher; </w:t>
      </w:r>
    </w:p>
    <w:p w14:paraId="40EAF449" w14:textId="77777777" w:rsidR="00F24A6F" w:rsidRDefault="00000000">
      <w:pPr>
        <w:numPr>
          <w:ilvl w:val="0"/>
          <w:numId w:val="1"/>
        </w:numPr>
        <w:spacing w:after="0"/>
        <w:ind w:right="0" w:hanging="391"/>
      </w:pPr>
      <w:r>
        <w:t xml:space="preserve">– </w:t>
      </w:r>
      <w:proofErr w:type="gramStart"/>
      <w:r>
        <w:t>ampliar</w:t>
      </w:r>
      <w:proofErr w:type="gramEnd"/>
      <w:r>
        <w:t xml:space="preserve"> o conhecimento das mulheres sobre mecanismos de proteção e segurança pessoal; </w:t>
      </w:r>
    </w:p>
    <w:p w14:paraId="10AA7D59" w14:textId="77777777" w:rsidR="00F24A6F" w:rsidRDefault="00000000">
      <w:pPr>
        <w:numPr>
          <w:ilvl w:val="0"/>
          <w:numId w:val="1"/>
        </w:numPr>
        <w:spacing w:after="11"/>
        <w:ind w:right="0" w:hanging="391"/>
      </w:pPr>
      <w:r>
        <w:t xml:space="preserve">– </w:t>
      </w:r>
      <w:proofErr w:type="gramStart"/>
      <w:r>
        <w:t>desenvolver</w:t>
      </w:r>
      <w:proofErr w:type="gramEnd"/>
      <w:r>
        <w:t xml:space="preserve"> noções básicas de defesa pessoal e autoproteção; </w:t>
      </w:r>
    </w:p>
    <w:p w14:paraId="7797773A" w14:textId="77777777" w:rsidR="00F24A6F" w:rsidRDefault="00000000">
      <w:pPr>
        <w:numPr>
          <w:ilvl w:val="0"/>
          <w:numId w:val="1"/>
        </w:numPr>
        <w:spacing w:after="11"/>
        <w:ind w:right="0" w:hanging="391"/>
      </w:pPr>
      <w:r>
        <w:t xml:space="preserve">– </w:t>
      </w:r>
      <w:proofErr w:type="gramStart"/>
      <w:r>
        <w:t>fortalecer</w:t>
      </w:r>
      <w:proofErr w:type="gramEnd"/>
      <w:r>
        <w:t xml:space="preserve"> a autoestima, a autonomia e a confiança das participantes; </w:t>
      </w:r>
    </w:p>
    <w:p w14:paraId="08C5D93F" w14:textId="77777777" w:rsidR="00F24A6F" w:rsidRDefault="00000000">
      <w:pPr>
        <w:numPr>
          <w:ilvl w:val="0"/>
          <w:numId w:val="1"/>
        </w:numPr>
        <w:spacing w:after="11"/>
        <w:ind w:right="0" w:hanging="391"/>
      </w:pPr>
      <w:r>
        <w:t xml:space="preserve">– </w:t>
      </w:r>
      <w:proofErr w:type="gramStart"/>
      <w:r>
        <w:t>divulgar</w:t>
      </w:r>
      <w:proofErr w:type="gramEnd"/>
      <w:r>
        <w:t xml:space="preserve"> os direitos assegurados pela legislação de proteção à mulher; </w:t>
      </w:r>
    </w:p>
    <w:p w14:paraId="292BEC07" w14:textId="77777777" w:rsidR="00F24A6F" w:rsidRDefault="00000000">
      <w:pPr>
        <w:numPr>
          <w:ilvl w:val="0"/>
          <w:numId w:val="1"/>
        </w:numPr>
        <w:spacing w:after="0"/>
        <w:ind w:right="0" w:hanging="391"/>
      </w:pPr>
      <w:r>
        <w:t xml:space="preserve">– </w:t>
      </w:r>
      <w:proofErr w:type="gramStart"/>
      <w:r>
        <w:t>contribuir</w:t>
      </w:r>
      <w:proofErr w:type="gramEnd"/>
      <w:r>
        <w:t xml:space="preserve"> para a redução dos índices de violência doméstica, familiar e urbana contra mulheres; </w:t>
      </w:r>
    </w:p>
    <w:p w14:paraId="150A8D7B" w14:textId="77777777" w:rsidR="00F24A6F" w:rsidRDefault="00000000">
      <w:pPr>
        <w:numPr>
          <w:ilvl w:val="0"/>
          <w:numId w:val="1"/>
        </w:numPr>
        <w:spacing w:after="11"/>
        <w:ind w:right="0" w:hanging="391"/>
      </w:pPr>
      <w:r>
        <w:t xml:space="preserve">– </w:t>
      </w:r>
      <w:proofErr w:type="gramStart"/>
      <w:r>
        <w:t>incentivar</w:t>
      </w:r>
      <w:proofErr w:type="gramEnd"/>
      <w:r>
        <w:t xml:space="preserve"> a denúncia e o acesso à rede de proteção existente no município. </w:t>
      </w:r>
    </w:p>
    <w:p w14:paraId="50E25F5B" w14:textId="77777777" w:rsidR="00F24A6F" w:rsidRDefault="00000000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1770FE54" w14:textId="77777777" w:rsidR="00F24A6F" w:rsidRDefault="00000000">
      <w:pPr>
        <w:spacing w:after="47"/>
        <w:ind w:left="-5" w:right="0"/>
      </w:pPr>
      <w:r>
        <w:t xml:space="preserve">Art. 3º </w:t>
      </w:r>
    </w:p>
    <w:p w14:paraId="64D98EF1" w14:textId="77777777" w:rsidR="00F24A6F" w:rsidRDefault="00000000">
      <w:pPr>
        <w:spacing w:after="11"/>
        <w:ind w:left="-5" w:right="0"/>
      </w:pPr>
      <w:r>
        <w:t xml:space="preserve">O Programa poderá oferecer, entre outras atividades: </w:t>
      </w:r>
    </w:p>
    <w:p w14:paraId="094D96C2" w14:textId="77777777" w:rsidR="00F24A6F" w:rsidRDefault="00000000">
      <w:pPr>
        <w:numPr>
          <w:ilvl w:val="0"/>
          <w:numId w:val="2"/>
        </w:numPr>
        <w:spacing w:after="11"/>
        <w:ind w:right="0" w:hanging="298"/>
      </w:pPr>
      <w:r>
        <w:t xml:space="preserve">– </w:t>
      </w:r>
      <w:proofErr w:type="gramStart"/>
      <w:r>
        <w:t>aulas</w:t>
      </w:r>
      <w:proofErr w:type="gramEnd"/>
      <w:r>
        <w:t xml:space="preserve"> de defesa pessoal e técnicas básicas de autoproteção; </w:t>
      </w:r>
    </w:p>
    <w:p w14:paraId="009D56D7" w14:textId="77777777" w:rsidR="00F24A6F" w:rsidRDefault="00000000">
      <w:pPr>
        <w:numPr>
          <w:ilvl w:val="0"/>
          <w:numId w:val="2"/>
        </w:numPr>
        <w:spacing w:after="11"/>
        <w:ind w:right="0" w:hanging="298"/>
      </w:pPr>
      <w:r>
        <w:t xml:space="preserve">– </w:t>
      </w:r>
      <w:proofErr w:type="gramStart"/>
      <w:r>
        <w:t>palestras</w:t>
      </w:r>
      <w:proofErr w:type="gramEnd"/>
      <w:r>
        <w:t xml:space="preserve"> educativas sobre prevenção da violência; </w:t>
      </w:r>
    </w:p>
    <w:p w14:paraId="2F1918B9" w14:textId="77777777" w:rsidR="00F24A6F" w:rsidRDefault="00000000">
      <w:pPr>
        <w:numPr>
          <w:ilvl w:val="0"/>
          <w:numId w:val="2"/>
        </w:numPr>
        <w:spacing w:after="11"/>
        <w:ind w:right="0" w:hanging="298"/>
      </w:pPr>
      <w:r>
        <w:t xml:space="preserve">– </w:t>
      </w:r>
      <w:proofErr w:type="gramStart"/>
      <w:r>
        <w:t>orientações</w:t>
      </w:r>
      <w:proofErr w:type="gramEnd"/>
      <w:r>
        <w:t xml:space="preserve"> sobre a Lei Federal nº 11.340/2006 (Lei Maria da Penha); </w:t>
      </w:r>
    </w:p>
    <w:p w14:paraId="70D647E6" w14:textId="77777777" w:rsidR="00F24A6F" w:rsidRDefault="00000000">
      <w:pPr>
        <w:numPr>
          <w:ilvl w:val="0"/>
          <w:numId w:val="2"/>
        </w:numPr>
        <w:spacing w:after="0"/>
        <w:ind w:right="0" w:hanging="298"/>
      </w:pPr>
      <w:r>
        <w:t xml:space="preserve">– </w:t>
      </w:r>
      <w:proofErr w:type="gramStart"/>
      <w:r>
        <w:t>capacitações</w:t>
      </w:r>
      <w:proofErr w:type="gramEnd"/>
      <w:r>
        <w:t xml:space="preserve"> sobre medidas protetivas, canais de denúncia e direitos das mulheres; V – ações voltadas ao enfrentamento da violência doméstica, familiar, psicológica, moral, patrimonial, sexual e institucional; </w:t>
      </w:r>
    </w:p>
    <w:p w14:paraId="67912DF6" w14:textId="77777777" w:rsidR="00F24A6F" w:rsidRDefault="00000000">
      <w:pPr>
        <w:spacing w:after="11"/>
        <w:ind w:left="-5" w:right="0"/>
      </w:pPr>
      <w:r>
        <w:t xml:space="preserve">VI – </w:t>
      </w:r>
      <w:proofErr w:type="gramStart"/>
      <w:r>
        <w:t>atividades</w:t>
      </w:r>
      <w:proofErr w:type="gramEnd"/>
      <w:r>
        <w:t xml:space="preserve"> de fortalecimento emocional e desenvolvimento pessoal. </w:t>
      </w:r>
    </w:p>
    <w:p w14:paraId="479D3213" w14:textId="77777777" w:rsidR="00F24A6F" w:rsidRDefault="00000000">
      <w:pPr>
        <w:spacing w:after="213" w:line="259" w:lineRule="auto"/>
        <w:ind w:left="0" w:right="0" w:firstLine="0"/>
        <w:jc w:val="left"/>
      </w:pPr>
      <w:r>
        <w:t xml:space="preserve"> </w:t>
      </w:r>
    </w:p>
    <w:p w14:paraId="7496D878" w14:textId="77777777" w:rsidR="00F24A6F" w:rsidRDefault="00000000">
      <w:pPr>
        <w:ind w:left="-5" w:right="0"/>
      </w:pPr>
      <w:r>
        <w:t xml:space="preserve">Art. 4º </w:t>
      </w:r>
    </w:p>
    <w:p w14:paraId="59FB5E11" w14:textId="77777777" w:rsidR="00F24A6F" w:rsidRDefault="00000000">
      <w:pPr>
        <w:ind w:left="-5" w:right="0"/>
      </w:pPr>
      <w:r>
        <w:t xml:space="preserve">As atividades poderão ser realizadas em: </w:t>
      </w:r>
    </w:p>
    <w:p w14:paraId="1B54905D" w14:textId="77777777" w:rsidR="00F24A6F" w:rsidRDefault="00000000">
      <w:pPr>
        <w:numPr>
          <w:ilvl w:val="0"/>
          <w:numId w:val="3"/>
        </w:numPr>
        <w:ind w:right="0" w:hanging="312"/>
      </w:pPr>
      <w:r>
        <w:t xml:space="preserve">– </w:t>
      </w:r>
      <w:proofErr w:type="gramStart"/>
      <w:r>
        <w:t>escolas</w:t>
      </w:r>
      <w:proofErr w:type="gramEnd"/>
      <w:r>
        <w:t xml:space="preserve">; </w:t>
      </w:r>
    </w:p>
    <w:p w14:paraId="1632FFA0" w14:textId="77777777" w:rsidR="00F24A6F" w:rsidRDefault="00000000">
      <w:pPr>
        <w:numPr>
          <w:ilvl w:val="0"/>
          <w:numId w:val="3"/>
        </w:numPr>
        <w:ind w:right="0" w:hanging="312"/>
      </w:pPr>
      <w:r>
        <w:lastRenderedPageBreak/>
        <w:t xml:space="preserve">– </w:t>
      </w:r>
      <w:proofErr w:type="gramStart"/>
      <w:r>
        <w:t>centros</w:t>
      </w:r>
      <w:proofErr w:type="gramEnd"/>
      <w:r>
        <w:t xml:space="preserve"> comunitários; </w:t>
      </w:r>
    </w:p>
    <w:p w14:paraId="3D856DAC" w14:textId="77777777" w:rsidR="00F24A6F" w:rsidRDefault="00000000">
      <w:pPr>
        <w:numPr>
          <w:ilvl w:val="0"/>
          <w:numId w:val="3"/>
        </w:numPr>
        <w:ind w:right="0" w:hanging="312"/>
      </w:pPr>
      <w:r>
        <w:t xml:space="preserve">– </w:t>
      </w:r>
      <w:proofErr w:type="gramStart"/>
      <w:r>
        <w:t>equipamentos</w:t>
      </w:r>
      <w:proofErr w:type="gramEnd"/>
      <w:r>
        <w:t xml:space="preserve"> públicos municipais; </w:t>
      </w:r>
    </w:p>
    <w:p w14:paraId="42CD4370" w14:textId="77777777" w:rsidR="00F24A6F" w:rsidRDefault="00000000">
      <w:pPr>
        <w:numPr>
          <w:ilvl w:val="0"/>
          <w:numId w:val="3"/>
        </w:numPr>
        <w:ind w:right="0" w:hanging="312"/>
      </w:pPr>
      <w:r>
        <w:t xml:space="preserve">– </w:t>
      </w:r>
      <w:proofErr w:type="gramStart"/>
      <w:r>
        <w:t>unidades</w:t>
      </w:r>
      <w:proofErr w:type="gramEnd"/>
      <w:r>
        <w:t xml:space="preserve"> esportivas; </w:t>
      </w:r>
    </w:p>
    <w:p w14:paraId="57A1055D" w14:textId="77777777" w:rsidR="00F24A6F" w:rsidRDefault="00000000">
      <w:pPr>
        <w:numPr>
          <w:ilvl w:val="0"/>
          <w:numId w:val="3"/>
        </w:numPr>
        <w:ind w:right="0" w:hanging="312"/>
      </w:pPr>
      <w:r>
        <w:t xml:space="preserve">– </w:t>
      </w:r>
      <w:proofErr w:type="gramStart"/>
      <w:r>
        <w:t>espaços</w:t>
      </w:r>
      <w:proofErr w:type="gramEnd"/>
      <w:r>
        <w:t xml:space="preserve"> vinculados à assistência social; </w:t>
      </w:r>
    </w:p>
    <w:p w14:paraId="5757AD48" w14:textId="77777777" w:rsidR="00F24A6F" w:rsidRDefault="00000000">
      <w:pPr>
        <w:numPr>
          <w:ilvl w:val="0"/>
          <w:numId w:val="3"/>
        </w:numPr>
        <w:ind w:right="0" w:hanging="312"/>
      </w:pPr>
      <w:r>
        <w:t xml:space="preserve">– </w:t>
      </w:r>
      <w:proofErr w:type="gramStart"/>
      <w:r>
        <w:t>demais</w:t>
      </w:r>
      <w:proofErr w:type="gramEnd"/>
      <w:r>
        <w:t xml:space="preserve"> locais adequados definidos pelo Poder Executivo. </w:t>
      </w:r>
    </w:p>
    <w:p w14:paraId="599F7D98" w14:textId="77777777" w:rsidR="00F24A6F" w:rsidRDefault="00000000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56A21346" w14:textId="77777777" w:rsidR="00F24A6F" w:rsidRDefault="00000000">
      <w:pPr>
        <w:ind w:left="-5" w:right="0"/>
      </w:pPr>
      <w:r>
        <w:t xml:space="preserve">Art. 5º </w:t>
      </w:r>
    </w:p>
    <w:p w14:paraId="22CA4337" w14:textId="77777777" w:rsidR="00F24A6F" w:rsidRDefault="00000000">
      <w:pPr>
        <w:ind w:left="-5" w:right="0"/>
      </w:pPr>
      <w:r>
        <w:t xml:space="preserve">A execução do Programa poderá ocorrer mediante atuação integrada entre: </w:t>
      </w:r>
    </w:p>
    <w:p w14:paraId="44816634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Secretaria Municipal de Ação Social; </w:t>
      </w:r>
    </w:p>
    <w:p w14:paraId="333AAED6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Secretaria Municipal de Esportes; </w:t>
      </w:r>
    </w:p>
    <w:p w14:paraId="6D520854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Secretaria Municipal de Segurança Pública; </w:t>
      </w:r>
    </w:p>
    <w:p w14:paraId="7F166E61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Conselho Municipal dos Direitos da Mulher; </w:t>
      </w:r>
    </w:p>
    <w:p w14:paraId="1A9586C9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Polícia Militar de Minas Gerais; </w:t>
      </w:r>
    </w:p>
    <w:p w14:paraId="7560971F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Polícia Civil de Minas Gerais; </w:t>
      </w:r>
    </w:p>
    <w:p w14:paraId="159272C1" w14:textId="77777777" w:rsidR="00F24A6F" w:rsidRDefault="00000000">
      <w:pPr>
        <w:numPr>
          <w:ilvl w:val="0"/>
          <w:numId w:val="4"/>
        </w:numPr>
        <w:ind w:right="0" w:hanging="391"/>
      </w:pPr>
      <w:r>
        <w:t xml:space="preserve">– Corpo de Bombeiros Militar de Minas Gerais; </w:t>
      </w:r>
    </w:p>
    <w:p w14:paraId="2E491E92" w14:textId="77777777" w:rsidR="00F24A6F" w:rsidRDefault="00000000">
      <w:pPr>
        <w:spacing w:after="229"/>
        <w:ind w:left="-5" w:right="0"/>
      </w:pPr>
      <w:r>
        <w:t xml:space="preserve">VII – Instituições de ensino, entidades da sociedade civil e demais parceiros. </w:t>
      </w:r>
    </w:p>
    <w:p w14:paraId="46269351" w14:textId="77777777" w:rsidR="00F24A6F" w:rsidRDefault="00000000">
      <w:pPr>
        <w:ind w:left="-5" w:right="0"/>
      </w:pPr>
      <w:r>
        <w:t xml:space="preserve">Art. 6º </w:t>
      </w:r>
    </w:p>
    <w:p w14:paraId="50EE60D1" w14:textId="77777777" w:rsidR="00F24A6F" w:rsidRDefault="00000000">
      <w:pPr>
        <w:spacing w:after="232"/>
        <w:ind w:left="-5" w:right="0"/>
      </w:pPr>
      <w:r>
        <w:t xml:space="preserve">O Poder Executivo poderá firmar convênios, termos de cooperação técnica e parcerias com órgãos públicos e entidades privadas para execução das atividades previstas nesta Lei. </w:t>
      </w:r>
    </w:p>
    <w:p w14:paraId="64051C52" w14:textId="77777777" w:rsidR="00F24A6F" w:rsidRDefault="00000000">
      <w:pPr>
        <w:ind w:left="-5" w:right="0"/>
      </w:pPr>
      <w:r>
        <w:t xml:space="preserve">Art. 7º </w:t>
      </w:r>
    </w:p>
    <w:p w14:paraId="331C734C" w14:textId="77777777" w:rsidR="00F24A6F" w:rsidRDefault="00000000">
      <w:pPr>
        <w:spacing w:after="227"/>
        <w:ind w:left="-5" w:right="0"/>
      </w:pPr>
      <w:r>
        <w:t xml:space="preserve">O Poder Executivo regulamentará esta Lei no prazo de até 60 (sessenta) dias. </w:t>
      </w:r>
    </w:p>
    <w:p w14:paraId="657FE799" w14:textId="77777777" w:rsidR="00F24A6F" w:rsidRDefault="00000000">
      <w:pPr>
        <w:ind w:left="-5" w:right="0"/>
      </w:pPr>
      <w:r>
        <w:t xml:space="preserve">Art. 8º </w:t>
      </w:r>
    </w:p>
    <w:p w14:paraId="76E4D33D" w14:textId="77777777" w:rsidR="00F24A6F" w:rsidRDefault="00000000">
      <w:pPr>
        <w:ind w:left="-5" w:right="0"/>
      </w:pPr>
      <w:r>
        <w:t xml:space="preserve">Esta Lei entra em vigor na data de sua publicação. </w:t>
      </w:r>
    </w:p>
    <w:p w14:paraId="4129FB03" w14:textId="77777777" w:rsidR="00CE4728" w:rsidRDefault="00CE4728">
      <w:pPr>
        <w:ind w:left="-5" w:right="0"/>
      </w:pPr>
    </w:p>
    <w:p w14:paraId="54673895" w14:textId="77777777" w:rsidR="00CE4728" w:rsidRDefault="00CE4728">
      <w:pPr>
        <w:ind w:left="-5" w:right="0"/>
      </w:pPr>
    </w:p>
    <w:p w14:paraId="4388B243" w14:textId="77777777" w:rsidR="00F24A6F" w:rsidRDefault="00000000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16F28C1E" w14:textId="77777777" w:rsidR="00CE4728" w:rsidRDefault="00CE4728" w:rsidP="00CE4728">
      <w:pPr>
        <w:spacing w:after="226" w:line="249" w:lineRule="auto"/>
        <w:ind w:left="230" w:right="169"/>
        <w:jc w:val="center"/>
      </w:pPr>
      <w:r>
        <w:rPr>
          <w:b/>
        </w:rPr>
        <w:t>RODRIGO EDUARDO DA SILVA – INVESTIGADOR RODRIGO</w:t>
      </w:r>
      <w:r>
        <w:t xml:space="preserve"> </w:t>
      </w:r>
      <w:r>
        <w:rPr>
          <w:b/>
        </w:rPr>
        <w:t>VEREADOR – PROGRESSISTAS</w:t>
      </w:r>
      <w:r>
        <w:t xml:space="preserve"> </w:t>
      </w:r>
    </w:p>
    <w:p w14:paraId="365D3E34" w14:textId="77777777" w:rsidR="00CE4728" w:rsidRDefault="00CE4728">
      <w:pPr>
        <w:spacing w:after="220" w:line="259" w:lineRule="auto"/>
        <w:ind w:left="0" w:right="0" w:firstLine="0"/>
        <w:jc w:val="left"/>
      </w:pPr>
    </w:p>
    <w:p w14:paraId="4724DA53" w14:textId="77777777" w:rsidR="00CE4728" w:rsidRDefault="00CE4728">
      <w:pPr>
        <w:spacing w:after="220" w:line="259" w:lineRule="auto"/>
        <w:ind w:left="0" w:right="0" w:firstLine="0"/>
        <w:jc w:val="left"/>
      </w:pPr>
    </w:p>
    <w:p w14:paraId="6C0DE5F3" w14:textId="77777777" w:rsidR="00CE4728" w:rsidRDefault="00CE4728">
      <w:pPr>
        <w:spacing w:after="220" w:line="259" w:lineRule="auto"/>
        <w:ind w:left="0" w:right="0" w:firstLine="0"/>
        <w:jc w:val="left"/>
      </w:pPr>
    </w:p>
    <w:p w14:paraId="6E2B8BC7" w14:textId="77777777" w:rsidR="00F24A6F" w:rsidRDefault="00000000">
      <w:pPr>
        <w:spacing w:after="84" w:line="249" w:lineRule="auto"/>
        <w:ind w:left="-5" w:right="0"/>
      </w:pPr>
      <w:r>
        <w:rPr>
          <w:b/>
        </w:rPr>
        <w:lastRenderedPageBreak/>
        <w:t xml:space="preserve">JUSTIFICATIVA </w:t>
      </w:r>
    </w:p>
    <w:p w14:paraId="179E5086" w14:textId="77777777" w:rsidR="00F24A6F" w:rsidRDefault="00000000">
      <w:pPr>
        <w:ind w:left="-5" w:right="0"/>
      </w:pPr>
      <w:r>
        <w:t xml:space="preserve">O presente Projeto de Lei nasce da necessidade de fortalecer as políticas públicas de prevenção à violência contra a mulher no Município de Araxá, ampliando os mecanismos de proteção, conscientização e fortalecimento da autonomia feminina. </w:t>
      </w:r>
    </w:p>
    <w:p w14:paraId="2F83E8A4" w14:textId="77777777" w:rsidR="00F24A6F" w:rsidRDefault="00000000">
      <w:pPr>
        <w:ind w:left="-5" w:right="0"/>
      </w:pPr>
      <w:r>
        <w:t xml:space="preserve">Segundo dados do Fórum Brasileiro de Segurança Pública e de órgãos oficiais de segurança, a violência contra a mulher permanece como um dos maiores desafios sociais do país, manifestando-se de diversas formas, seja no ambiente doméstico, familiar, profissional ou nos espaços públicos. </w:t>
      </w:r>
    </w:p>
    <w:p w14:paraId="7280ABC0" w14:textId="77777777" w:rsidR="00F24A6F" w:rsidRDefault="00000000">
      <w:pPr>
        <w:spacing w:after="98" w:line="238" w:lineRule="auto"/>
        <w:ind w:left="0" w:right="0" w:firstLine="0"/>
        <w:jc w:val="left"/>
      </w:pPr>
      <w:r>
        <w:t xml:space="preserve">Embora o enfrentamento à violência dependa, prioritariamente, da atuação das instituições de segurança pública e do sistema de justiça, é igualmente importante investir em ações preventivas que permitam às mulheres desenvolver conhecimentos básicos de autoproteção, percepção de risco e reação segura diante de situações potencialmente perigosas. </w:t>
      </w:r>
    </w:p>
    <w:p w14:paraId="4D49CC3A" w14:textId="77777777" w:rsidR="00F24A6F" w:rsidRDefault="00000000">
      <w:pPr>
        <w:ind w:left="-5" w:right="0"/>
      </w:pPr>
      <w:r>
        <w:t xml:space="preserve">É importante esclarecer que o presente projeto não pretende transferir às mulheres a responsabilidade pela violência que sofrem. A responsabilidade é sempre do agressor. </w:t>
      </w:r>
    </w:p>
    <w:p w14:paraId="232CA111" w14:textId="77777777" w:rsidR="00F24A6F" w:rsidRDefault="00000000">
      <w:pPr>
        <w:ind w:left="-5" w:right="0"/>
      </w:pPr>
      <w:r>
        <w:t xml:space="preserve">Contudo, oferecer ferramentas de prevenção, orientação e defesa pessoal significa ampliar possibilidades de proteção e fortalecer a autonomia feminina. </w:t>
      </w:r>
    </w:p>
    <w:p w14:paraId="022BD468" w14:textId="77777777" w:rsidR="00F24A6F" w:rsidRDefault="00000000">
      <w:pPr>
        <w:ind w:left="-5" w:right="0"/>
      </w:pPr>
      <w:r>
        <w:t xml:space="preserve">Diversas cidades brasileiras já desenvolvem programas semelhantes, com resultados positivos na promoção da autoestima, da segurança pessoal e da conscientização sobre direitos e mecanismos de proteção. </w:t>
      </w:r>
    </w:p>
    <w:p w14:paraId="66805B57" w14:textId="77777777" w:rsidR="00F24A6F" w:rsidRDefault="00000000">
      <w:pPr>
        <w:ind w:left="-5" w:right="0"/>
      </w:pPr>
      <w:r>
        <w:t xml:space="preserve">O Programa Mulher Segura também atuará como importante instrumento de divulgação da rede de proteção existente no município, aproximando as mulheres dos serviços oferecidos pelas forças de segurança, assistência social, saúde e órgãos de defesa dos direitos da mulher. </w:t>
      </w:r>
    </w:p>
    <w:p w14:paraId="653D1656" w14:textId="77777777" w:rsidR="00F24A6F" w:rsidRDefault="00000000">
      <w:pPr>
        <w:ind w:left="-5" w:right="0"/>
      </w:pPr>
      <w:r>
        <w:t xml:space="preserve">Além das aulas de defesa pessoal, o programa permitirá a realização de palestras, rodas de conversa, capacitações e orientações sobre violência doméstica, medidas protetivas, canais de denúncia e demais instrumentos previstos na Lei Maria da Penha. </w:t>
      </w:r>
    </w:p>
    <w:p w14:paraId="738ECA24" w14:textId="77777777" w:rsidR="00F24A6F" w:rsidRDefault="00000000">
      <w:pPr>
        <w:ind w:left="-5" w:right="0"/>
      </w:pPr>
      <w:r>
        <w:t xml:space="preserve">A proposta encontra respaldo na Constituição Federal, na Lei Maria da Penha (Lei Federal nº 11.340/2006), na Política Nacional de Enfrentamento à Violência contra as Mulheres e nos princípios da dignidade da pessoa humana, proteção da vida e promoção da segurança pública. </w:t>
      </w:r>
    </w:p>
    <w:p w14:paraId="47EDAC4E" w14:textId="77777777" w:rsidR="00F24A6F" w:rsidRDefault="00000000">
      <w:pPr>
        <w:ind w:left="-5" w:right="0"/>
      </w:pPr>
      <w:r>
        <w:t xml:space="preserve">Trata-se de uma iniciativa preventiva, educativa e socialmente necessária, que fortalece a rede de proteção às mulheres, amplia a cultura da prevenção e contribui para a construção de uma sociedade mais segura, justa e respeitosa. </w:t>
      </w:r>
    </w:p>
    <w:p w14:paraId="03F81577" w14:textId="77777777" w:rsidR="00F24A6F" w:rsidRDefault="00000000">
      <w:pPr>
        <w:ind w:left="-5" w:right="0"/>
      </w:pPr>
      <w:r>
        <w:t xml:space="preserve">Investir na proteção das mulheres é investir na proteção das famílias, da comunidade e da própria sociedade. </w:t>
      </w:r>
    </w:p>
    <w:p w14:paraId="5F5C23A3" w14:textId="77777777" w:rsidR="00F24A6F" w:rsidRDefault="00000000">
      <w:pPr>
        <w:ind w:left="-5" w:right="0"/>
      </w:pPr>
      <w:r>
        <w:t xml:space="preserve">Diante da relevância da matéria, contamos com o apoio dos nobres Vereadores para aprovação do presente Projeto de Lei. </w:t>
      </w:r>
    </w:p>
    <w:p w14:paraId="02BF6BD9" w14:textId="05AB27BC" w:rsidR="00F24A6F" w:rsidRDefault="00000000" w:rsidP="005C099E">
      <w:pPr>
        <w:spacing w:after="76" w:line="259" w:lineRule="auto"/>
        <w:ind w:left="0" w:right="0" w:firstLine="0"/>
        <w:jc w:val="left"/>
      </w:pPr>
      <w:r>
        <w:t xml:space="preserve"> Araxá, 01/06/2026. </w:t>
      </w:r>
    </w:p>
    <w:p w14:paraId="39FA6925" w14:textId="0B353BA0" w:rsidR="00F24A6F" w:rsidRDefault="00000000" w:rsidP="005C099E">
      <w:pPr>
        <w:spacing w:after="262" w:line="259" w:lineRule="auto"/>
        <w:ind w:left="0" w:right="0" w:firstLine="0"/>
        <w:jc w:val="left"/>
      </w:pPr>
      <w:r>
        <w:t xml:space="preserve"> </w:t>
      </w:r>
      <w:r>
        <w:rPr>
          <w:b/>
        </w:rPr>
        <w:t>RODRIGO EDUARDO DA SILVA – INVESTIGADOR RODRIGO</w:t>
      </w:r>
      <w:r>
        <w:t xml:space="preserve"> </w:t>
      </w:r>
      <w:r>
        <w:rPr>
          <w:b/>
        </w:rPr>
        <w:t>VEREADOR – PROGRESSISTAS</w:t>
      </w:r>
      <w:r>
        <w:t xml:space="preserve"> </w:t>
      </w:r>
    </w:p>
    <w:sectPr w:rsidR="00F24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35" w:right="1456" w:bottom="2298" w:left="1702" w:header="724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6A81" w14:textId="77777777" w:rsidR="008A0CA4" w:rsidRDefault="008A0CA4">
      <w:pPr>
        <w:spacing w:after="0" w:line="240" w:lineRule="auto"/>
      </w:pPr>
      <w:r>
        <w:separator/>
      </w:r>
    </w:p>
  </w:endnote>
  <w:endnote w:type="continuationSeparator" w:id="0">
    <w:p w14:paraId="318173A3" w14:textId="77777777" w:rsidR="008A0CA4" w:rsidRDefault="008A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4FC8" w14:textId="77777777" w:rsidR="00F24A6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02D002" wp14:editId="08F2DA3C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909" name="Group 3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045" name="Shape 4045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6" name="Shape 4046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09" style="width:439.87pt;height:0.719971pt;position:absolute;mso-position-horizontal-relative:page;mso-position-horizontal:absolute;margin-left:83.664pt;mso-position-vertical-relative:page;margin-top:753.096pt;" coordsize="55863,91">
              <v:shape id="Shape 4047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048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3F526953" w14:textId="77777777" w:rsidR="00F24A6F" w:rsidRDefault="00000000">
    <w:pPr>
      <w:spacing w:after="345" w:line="259" w:lineRule="auto"/>
      <w:ind w:left="36" w:right="0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579F5B6F" w14:textId="77777777" w:rsidR="00F24A6F" w:rsidRDefault="00000000">
    <w:pPr>
      <w:spacing w:after="0" w:line="238" w:lineRule="auto"/>
      <w:ind w:left="597" w:right="339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42D8" w14:textId="77777777" w:rsidR="00F24A6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AAECC9" wp14:editId="234AD5AE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854" name="Group 3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041" name="Shape 4041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2" name="Shape 4042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54" style="width:439.87pt;height:0.719971pt;position:absolute;mso-position-horizontal-relative:page;mso-position-horizontal:absolute;margin-left:83.664pt;mso-position-vertical-relative:page;margin-top:753.096pt;" coordsize="55863,91">
              <v:shape id="Shape 4043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044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218D11A4" w14:textId="77777777" w:rsidR="00F24A6F" w:rsidRDefault="00000000">
    <w:pPr>
      <w:spacing w:after="345" w:line="259" w:lineRule="auto"/>
      <w:ind w:left="36" w:right="0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3BEA8AC2" w14:textId="77777777" w:rsidR="00F24A6F" w:rsidRDefault="00000000">
    <w:pPr>
      <w:spacing w:after="0" w:line="238" w:lineRule="auto"/>
      <w:ind w:left="597" w:right="339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DE9F" w14:textId="77777777" w:rsidR="00F24A6F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D3DCB5" wp14:editId="7FC6F5EC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799" name="Group 3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037" name="Shape 4037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8" name="Shape 4038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99" style="width:439.87pt;height:0.719971pt;position:absolute;mso-position-horizontal-relative:page;mso-position-horizontal:absolute;margin-left:83.664pt;mso-position-vertical-relative:page;margin-top:753.096pt;" coordsize="55863,91">
              <v:shape id="Shape 4039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040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24D92C6A" w14:textId="77777777" w:rsidR="00F24A6F" w:rsidRDefault="00000000">
    <w:pPr>
      <w:spacing w:after="345" w:line="259" w:lineRule="auto"/>
      <w:ind w:left="36" w:right="0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3A89B041" w14:textId="77777777" w:rsidR="00F24A6F" w:rsidRDefault="00000000">
    <w:pPr>
      <w:spacing w:after="0" w:line="238" w:lineRule="auto"/>
      <w:ind w:left="597" w:right="339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9377" w14:textId="77777777" w:rsidR="008A0CA4" w:rsidRDefault="008A0CA4">
      <w:pPr>
        <w:spacing w:after="0" w:line="240" w:lineRule="auto"/>
      </w:pPr>
      <w:r>
        <w:separator/>
      </w:r>
    </w:p>
  </w:footnote>
  <w:footnote w:type="continuationSeparator" w:id="0">
    <w:p w14:paraId="3883E079" w14:textId="77777777" w:rsidR="008A0CA4" w:rsidRDefault="008A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79CB" w14:textId="77777777" w:rsidR="00F24A6F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52790B4E" w14:textId="77777777" w:rsidR="00F24A6F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C0C8770" wp14:editId="17B4C282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901" name="Group 3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902" name="Picture 39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01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902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9A3" w14:textId="77777777" w:rsidR="00F24A6F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58D8E095" w14:textId="77777777" w:rsidR="00F24A6F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96C182" wp14:editId="0E8A4842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846" name="Group 3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847" name="Picture 3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6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847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56BC" w14:textId="77777777" w:rsidR="00F24A6F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63495D4F" w14:textId="77777777" w:rsidR="00F24A6F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8F434F4" wp14:editId="1BA025B9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791" name="Group 3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792" name="Picture 37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91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792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D69"/>
    <w:multiLevelType w:val="hybridMultilevel"/>
    <w:tmpl w:val="073E28E2"/>
    <w:lvl w:ilvl="0" w:tplc="A92813EA">
      <w:start w:val="1"/>
      <w:numFmt w:val="upperRoman"/>
      <w:lvlText w:val="%1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44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AD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0C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4C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2C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8D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EC1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8A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4621D"/>
    <w:multiLevelType w:val="hybridMultilevel"/>
    <w:tmpl w:val="5A90BE08"/>
    <w:lvl w:ilvl="0" w:tplc="E4D0AEB8">
      <w:start w:val="1"/>
      <w:numFmt w:val="upperRoman"/>
      <w:lvlText w:val="%1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44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A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464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2D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0A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6C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E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A7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C5874"/>
    <w:multiLevelType w:val="hybridMultilevel"/>
    <w:tmpl w:val="4CB2C790"/>
    <w:lvl w:ilvl="0" w:tplc="52CCCE3E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EF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E4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51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E2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84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82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C8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014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C216CE"/>
    <w:multiLevelType w:val="hybridMultilevel"/>
    <w:tmpl w:val="009A6294"/>
    <w:lvl w:ilvl="0" w:tplc="1BF2740C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CE6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843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62E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0B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6E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8F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A83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2E1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892790">
    <w:abstractNumId w:val="0"/>
  </w:num>
  <w:num w:numId="2" w16cid:durableId="721639563">
    <w:abstractNumId w:val="3"/>
  </w:num>
  <w:num w:numId="3" w16cid:durableId="1724786625">
    <w:abstractNumId w:val="2"/>
  </w:num>
  <w:num w:numId="4" w16cid:durableId="110611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F"/>
    <w:rsid w:val="005C099E"/>
    <w:rsid w:val="008A0CA4"/>
    <w:rsid w:val="00CE4728"/>
    <w:rsid w:val="00F24A6F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3562"/>
  <w15:docId w15:val="{8F8A4962-CC32-4243-8FE7-319F10F5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9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3</cp:revision>
  <dcterms:created xsi:type="dcterms:W3CDTF">2026-06-08T18:34:00Z</dcterms:created>
  <dcterms:modified xsi:type="dcterms:W3CDTF">2026-06-08T18:36:00Z</dcterms:modified>
</cp:coreProperties>
</file>